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BCF68">
      <w:pPr>
        <w:spacing w:line="520" w:lineRule="exact"/>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198120</wp:posOffset>
                </wp:positionV>
                <wp:extent cx="2266315" cy="930910"/>
                <wp:effectExtent l="5080" t="4445" r="14605" b="9525"/>
                <wp:wrapSquare wrapText="bothSides"/>
                <wp:docPr id="3" name="文本框 3"/>
                <wp:cNvGraphicFramePr/>
                <a:graphic xmlns:a="http://schemas.openxmlformats.org/drawingml/2006/main">
                  <a:graphicData uri="http://schemas.microsoft.com/office/word/2010/wordprocessingShape">
                    <wps:wsp>
                      <wps:cNvSpPr txBox="1"/>
                      <wps:spPr>
                        <a:xfrm>
                          <a:off x="0" y="0"/>
                          <a:ext cx="2266315" cy="9309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B9739B3">
                            <w:pPr>
                              <w:ind w:left="700" w:hanging="700" w:hangingChars="250"/>
                              <w:jc w:val="center"/>
                              <w:rPr>
                                <w:rFonts w:ascii="楷体_GB2312" w:eastAsia="楷体_GB2312" w:cs="楷体_GB2312"/>
                                <w:sz w:val="28"/>
                                <w:szCs w:val="28"/>
                              </w:rPr>
                            </w:pPr>
                            <w:r>
                              <w:rPr>
                                <w:rFonts w:hint="eastAsia" w:ascii="楷体_GB2312" w:eastAsia="楷体_GB2312" w:cs="楷体_GB2312"/>
                                <w:sz w:val="28"/>
                                <w:szCs w:val="28"/>
                              </w:rPr>
                              <w:t>全国法院第三十七届</w:t>
                            </w:r>
                          </w:p>
                          <w:p w14:paraId="191DC683">
                            <w:pPr>
                              <w:ind w:left="700" w:hanging="700" w:hangingChars="250"/>
                              <w:jc w:val="center"/>
                              <w:rPr>
                                <w:rFonts w:ascii="楷体_GB2312" w:eastAsia="楷体_GB2312" w:cs="楷体_GB2312"/>
                                <w:sz w:val="28"/>
                                <w:szCs w:val="28"/>
                              </w:rPr>
                            </w:pPr>
                            <w:r>
                              <w:rPr>
                                <w:rFonts w:hint="eastAsia" w:ascii="楷体_GB2312" w:eastAsia="楷体_GB2312" w:cs="楷体_GB2312"/>
                                <w:sz w:val="28"/>
                                <w:szCs w:val="28"/>
                              </w:rPr>
                              <w:t>学术讨论会征文</w:t>
                            </w:r>
                          </w:p>
                        </w:txbxContent>
                      </wps:txbx>
                      <wps:bodyPr upright="1"/>
                    </wps:wsp>
                  </a:graphicData>
                </a:graphic>
              </wp:anchor>
            </w:drawing>
          </mc:Choice>
          <mc:Fallback>
            <w:pict>
              <v:shape id="_x0000_s1026" o:spid="_x0000_s1026" o:spt="202" type="#_x0000_t202" style="position:absolute;left:0pt;margin-left:9pt;margin-top:15.6pt;height:73.3pt;width:178.45pt;mso-wrap-distance-bottom:0pt;mso-wrap-distance-left:9pt;mso-wrap-distance-right:9pt;mso-wrap-distance-top:0pt;z-index:251660288;mso-width-relative:page;mso-height-relative:page;" fillcolor="#FFFFFF" filled="t" stroked="t" coordsize="21600,21600" o:gfxdata="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1nM52AAAAAkBAAAPAAAAAAAA&#10;AAEAIAAAACIAAABkcnMvZG93bnJldi54bWxQSwECFAAUAAAACACHTuJA9jvsXBICAABEBAAADgAA&#10;AAAAAAABACAAAAAnAQAAZHJzL2Uyb0RvYy54bWxQSwUGAAAAAAYABgBZAQAAqwUAAAAA&#10;">
                <v:fill on="t" focussize="0,0"/>
                <v:stroke color="#000000" joinstyle="miter"/>
                <v:imagedata o:title=""/>
                <o:lock v:ext="edit" aspectratio="f"/>
                <v:textbox>
                  <w:txbxContent>
                    <w:p w14:paraId="3B9739B3">
                      <w:pPr>
                        <w:ind w:left="700" w:hanging="700" w:hangingChars="250"/>
                        <w:jc w:val="center"/>
                        <w:rPr>
                          <w:rFonts w:ascii="楷体_GB2312" w:eastAsia="楷体_GB2312" w:cs="楷体_GB2312"/>
                          <w:sz w:val="28"/>
                          <w:szCs w:val="28"/>
                        </w:rPr>
                      </w:pPr>
                      <w:r>
                        <w:rPr>
                          <w:rFonts w:hint="eastAsia" w:ascii="楷体_GB2312" w:eastAsia="楷体_GB2312" w:cs="楷体_GB2312"/>
                          <w:sz w:val="28"/>
                          <w:szCs w:val="28"/>
                        </w:rPr>
                        <w:t>全国法院第三十七届</w:t>
                      </w:r>
                    </w:p>
                    <w:p w14:paraId="191DC683">
                      <w:pPr>
                        <w:ind w:left="700" w:hanging="700" w:hangingChars="250"/>
                        <w:jc w:val="center"/>
                        <w:rPr>
                          <w:rFonts w:ascii="楷体_GB2312" w:eastAsia="楷体_GB2312" w:cs="楷体_GB2312"/>
                          <w:sz w:val="28"/>
                          <w:szCs w:val="28"/>
                        </w:rPr>
                      </w:pPr>
                      <w:r>
                        <w:rPr>
                          <w:rFonts w:hint="eastAsia" w:ascii="楷体_GB2312" w:eastAsia="楷体_GB2312" w:cs="楷体_GB2312"/>
                          <w:sz w:val="28"/>
                          <w:szCs w:val="28"/>
                        </w:rPr>
                        <w:t>学术讨论会征文</w:t>
                      </w:r>
                    </w:p>
                  </w:txbxContent>
                </v:textbox>
                <w10:wrap type="square"/>
              </v:shape>
            </w:pict>
          </mc:Fallback>
        </mc:AlternateContent>
      </w:r>
    </w:p>
    <w:p w14:paraId="34D03404">
      <w:pPr>
        <w:spacing w:line="520" w:lineRule="exact"/>
        <w:rPr>
          <w:rFonts w:ascii="Times New Roman" w:hAnsi="Times New Roman" w:eastAsia="楷体_GB2312" w:cs="Times New Roman"/>
          <w:sz w:val="24"/>
        </w:rPr>
      </w:pPr>
    </w:p>
    <w:p w14:paraId="46CEC57B">
      <w:pPr>
        <w:spacing w:line="520" w:lineRule="exact"/>
        <w:rPr>
          <w:rFonts w:ascii="Times New Roman" w:hAnsi="Times New Roman" w:eastAsia="楷体_GB2312" w:cs="Times New Roman"/>
          <w:sz w:val="24"/>
        </w:rPr>
      </w:pPr>
    </w:p>
    <w:p w14:paraId="47468FAD">
      <w:pPr>
        <w:spacing w:line="520" w:lineRule="exact"/>
        <w:rPr>
          <w:rFonts w:ascii="Times New Roman" w:hAnsi="Times New Roman" w:eastAsia="楷体_GB2312" w:cs="Times New Roman"/>
          <w:sz w:val="24"/>
        </w:rPr>
      </w:pPr>
    </w:p>
    <w:p w14:paraId="1F8C3248">
      <w:pPr>
        <w:spacing w:line="520" w:lineRule="exact"/>
        <w:rPr>
          <w:rFonts w:ascii="Times New Roman" w:hAnsi="Times New Roman" w:eastAsia="楷体_GB2312" w:cs="Times New Roman"/>
          <w:sz w:val="24"/>
        </w:rPr>
      </w:pPr>
    </w:p>
    <w:p w14:paraId="38BC8355">
      <w:pPr>
        <w:spacing w:line="520" w:lineRule="exact"/>
        <w:rPr>
          <w:rFonts w:ascii="Times New Roman" w:hAnsi="Times New Roman" w:eastAsia="楷体_GB2312" w:cs="Times New Roman"/>
          <w:sz w:val="24"/>
        </w:rPr>
      </w:pPr>
    </w:p>
    <w:p w14:paraId="77D76F48">
      <w:pPr>
        <w:spacing w:line="520" w:lineRule="exact"/>
        <w:rPr>
          <w:rFonts w:ascii="Times New Roman" w:hAnsi="Times New Roman" w:eastAsia="隶书" w:cs="Times New Roman"/>
          <w:color w:val="333333"/>
          <w:sz w:val="38"/>
          <w:szCs w:val="38"/>
        </w:rPr>
      </w:pPr>
    </w:p>
    <w:p w14:paraId="1F12DBBF">
      <w:pPr>
        <w:spacing w:line="520" w:lineRule="exact"/>
        <w:rPr>
          <w:rFonts w:ascii="Times New Roman" w:hAnsi="Times New Roman" w:eastAsia="隶书" w:cs="Times New Roman"/>
          <w:color w:val="333333"/>
          <w:sz w:val="38"/>
          <w:szCs w:val="38"/>
        </w:rPr>
      </w:pPr>
    </w:p>
    <w:p w14:paraId="235C3466">
      <w:pPr>
        <w:spacing w:line="520" w:lineRule="exact"/>
        <w:rPr>
          <w:rFonts w:ascii="Times New Roman" w:hAnsi="Times New Roman" w:eastAsia="隶书" w:cs="Times New Roman"/>
          <w:color w:val="333333"/>
          <w:sz w:val="38"/>
          <w:szCs w:val="38"/>
        </w:rPr>
      </w:pPr>
    </w:p>
    <w:p w14:paraId="0BB05AEB">
      <w:pPr>
        <w:spacing w:line="520" w:lineRule="exact"/>
        <w:jc w:val="center"/>
        <w:rPr>
          <w:rFonts w:ascii="方正黑体_GBK" w:hAnsi="方正黑体_GBK" w:eastAsia="方正黑体_GBK" w:cs="方正黑体_GBK"/>
          <w:b/>
          <w:bCs/>
          <w:sz w:val="36"/>
          <w:szCs w:val="36"/>
        </w:rPr>
      </w:pPr>
      <w:r>
        <w:rPr>
          <w:rFonts w:hint="eastAsia" w:ascii="方正黑体_GBK" w:hAnsi="方正黑体_GBK" w:eastAsia="方正黑体_GBK" w:cs="方正黑体_GBK"/>
          <w:b/>
          <w:bCs/>
          <w:sz w:val="36"/>
          <w:szCs w:val="36"/>
        </w:rPr>
        <w:t>商业秘密侵权惩罚性赔偿的实践检视与路径优化</w:t>
      </w:r>
    </w:p>
    <w:p w14:paraId="65BABDE5">
      <w:pPr>
        <w:spacing w:line="520" w:lineRule="exact"/>
        <w:jc w:val="right"/>
        <w:rPr>
          <w:rFonts w:hint="eastAsia" w:ascii="楷体_GB2312" w:hAnsi="方正黑体_GBK" w:eastAsia="楷体_GB2312" w:cs="方正黑体_GBK"/>
          <w:bCs/>
          <w:sz w:val="32"/>
          <w:szCs w:val="32"/>
        </w:rPr>
      </w:pPr>
      <w:r>
        <w:rPr>
          <w:rFonts w:hint="eastAsia" w:ascii="楷体_GB2312" w:hAnsi="方正黑体_GBK" w:eastAsia="楷体_GB2312" w:cs="方正黑体_GBK"/>
          <w:bCs/>
          <w:sz w:val="32"/>
          <w:szCs w:val="32"/>
        </w:rPr>
        <w:t>——以2019-2024年间的相关案例为研究对象</w:t>
      </w:r>
    </w:p>
    <w:p w14:paraId="3D8BF73C">
      <w:pPr>
        <w:spacing w:line="520" w:lineRule="exact"/>
        <w:rPr>
          <w:rFonts w:ascii="方正黑体_GBK" w:hAnsi="方正黑体_GBK" w:eastAsia="方正黑体_GBK" w:cs="方正黑体_GBK"/>
          <w:sz w:val="44"/>
          <w:szCs w:val="44"/>
        </w:rPr>
      </w:pPr>
    </w:p>
    <w:p w14:paraId="6CF1E6AB">
      <w:pPr>
        <w:spacing w:line="520" w:lineRule="exact"/>
        <w:rPr>
          <w:rFonts w:ascii="Times New Roman" w:hAnsi="Times New Roman" w:eastAsia="宋体" w:cs="Times New Roman"/>
          <w:sz w:val="28"/>
        </w:rPr>
      </w:pPr>
    </w:p>
    <w:p w14:paraId="52AAC293">
      <w:pPr>
        <w:spacing w:line="520" w:lineRule="exact"/>
        <w:rPr>
          <w:rFonts w:ascii="Times New Roman" w:hAnsi="Times New Roman" w:eastAsia="宋体" w:cs="Times New Roman"/>
          <w:sz w:val="28"/>
        </w:rPr>
      </w:pPr>
    </w:p>
    <w:p w14:paraId="2E4415E4">
      <w:pPr>
        <w:spacing w:line="520" w:lineRule="exact"/>
        <w:jc w:val="center"/>
        <w:rPr>
          <w:rFonts w:ascii="楷体" w:hAnsi="楷体" w:eastAsia="楷体" w:cs="楷体"/>
          <w:sz w:val="32"/>
          <w:szCs w:val="32"/>
        </w:rPr>
      </w:pPr>
    </w:p>
    <w:p w14:paraId="0A8AD4B8">
      <w:pPr>
        <w:spacing w:line="520" w:lineRule="exact"/>
        <w:jc w:val="center"/>
        <w:rPr>
          <w:rFonts w:ascii="楷体" w:hAnsi="楷体" w:eastAsia="楷体" w:cs="楷体"/>
          <w:sz w:val="32"/>
          <w:szCs w:val="32"/>
        </w:rPr>
      </w:pPr>
    </w:p>
    <w:p w14:paraId="1D41CCA3">
      <w:pPr>
        <w:spacing w:line="520" w:lineRule="exact"/>
        <w:jc w:val="center"/>
        <w:rPr>
          <w:rFonts w:ascii="楷体" w:hAnsi="楷体" w:eastAsia="楷体" w:cs="楷体"/>
          <w:sz w:val="32"/>
          <w:szCs w:val="32"/>
        </w:rPr>
      </w:pPr>
      <w:r>
        <w:rPr>
          <w:rFonts w:hint="eastAsia" w:ascii="楷体" w:hAnsi="楷体" w:eastAsia="楷体" w:cs="楷体"/>
          <w:sz w:val="32"/>
          <w:szCs w:val="32"/>
        </w:rPr>
        <w:t>河南省安阳市中级人民法院   邢霞</w:t>
      </w:r>
    </w:p>
    <w:p w14:paraId="4F8F3E5F">
      <w:pPr>
        <w:spacing w:line="520" w:lineRule="exact"/>
        <w:jc w:val="center"/>
        <w:rPr>
          <w:rFonts w:ascii="楷体" w:hAnsi="楷体" w:eastAsia="楷体" w:cs="楷体"/>
          <w:sz w:val="32"/>
          <w:szCs w:val="32"/>
        </w:rPr>
      </w:pPr>
      <w:r>
        <w:rPr>
          <w:rFonts w:hint="eastAsia" w:ascii="楷体" w:hAnsi="楷体" w:eastAsia="楷体" w:cs="楷体"/>
          <w:sz w:val="32"/>
          <w:szCs w:val="32"/>
        </w:rPr>
        <w:t>河南省</w:t>
      </w:r>
      <w:bookmarkStart w:id="1" w:name="_GoBack"/>
      <w:r>
        <w:rPr>
          <w:rFonts w:hint="eastAsia" w:ascii="楷体" w:hAnsi="楷体" w:eastAsia="楷体" w:cs="楷体"/>
          <w:sz w:val="32"/>
          <w:szCs w:val="32"/>
        </w:rPr>
        <w:t>汤阴县人民法院  张歆梅  付培育</w:t>
      </w:r>
      <w:bookmarkEnd w:id="1"/>
    </w:p>
    <w:p w14:paraId="3D9FF97A">
      <w:pPr>
        <w:spacing w:line="520" w:lineRule="exact"/>
        <w:jc w:val="center"/>
        <w:rPr>
          <w:rFonts w:ascii="楷体" w:hAnsi="楷体" w:eastAsia="楷体" w:cs="楷体"/>
          <w:sz w:val="32"/>
          <w:szCs w:val="32"/>
        </w:rPr>
      </w:pPr>
    </w:p>
    <w:p w14:paraId="532C357D">
      <w:pPr>
        <w:spacing w:line="520" w:lineRule="exact"/>
        <w:jc w:val="center"/>
        <w:rPr>
          <w:rFonts w:ascii="楷体" w:hAnsi="楷体" w:eastAsia="楷体" w:cs="楷体"/>
          <w:b/>
          <w:sz w:val="32"/>
          <w:szCs w:val="32"/>
        </w:rPr>
        <w:sectPr>
          <w:footerReference r:id="rId4" w:type="default"/>
          <w:pgSz w:w="11906" w:h="16838"/>
          <w:pgMar w:top="2098" w:right="1474" w:bottom="2098" w:left="1587" w:header="851" w:footer="992" w:gutter="0"/>
          <w:pgNumType w:start="1"/>
          <w:cols w:space="720" w:num="1"/>
          <w:docGrid w:type="lines" w:linePitch="316" w:charSpace="0"/>
        </w:sectPr>
      </w:pPr>
      <w:r>
        <w:rPr>
          <w:rFonts w:hint="eastAsia" w:ascii="楷体" w:hAnsi="楷体" w:eastAsia="楷体" w:cs="楷体"/>
          <w:sz w:val="32"/>
          <w:szCs w:val="32"/>
        </w:rPr>
        <w:t>二〇二五年七月五日</w:t>
      </w:r>
    </w:p>
    <w:p w14:paraId="2A2F2BBE">
      <w:pPr>
        <w:spacing w:line="360" w:lineRule="auto"/>
        <w:rPr>
          <w:rFonts w:ascii="宋体" w:hAnsi="宋体" w:eastAsia="宋体" w:cs="宋体"/>
          <w:sz w:val="24"/>
        </w:rPr>
      </w:pPr>
    </w:p>
    <w:p w14:paraId="768F4082">
      <w:pPr>
        <w:spacing w:line="540" w:lineRule="exact"/>
        <w:rPr>
          <w:rFonts w:cs="楷体" w:asciiTheme="minorEastAsia" w:hAnsiTheme="minorEastAsia"/>
          <w:sz w:val="28"/>
          <w:szCs w:val="28"/>
        </w:rPr>
      </w:pPr>
      <w:r>
        <w:rPr>
          <w:rFonts w:hint="eastAsia" w:cs="宋体" w:asciiTheme="minorEastAsia" w:hAnsiTheme="minorEastAsia"/>
          <w:b/>
          <w:bCs/>
          <w:sz w:val="28"/>
          <w:szCs w:val="28"/>
        </w:rPr>
        <w:t>内容提要：</w:t>
      </w:r>
      <w:r>
        <w:rPr>
          <w:rFonts w:hint="eastAsia" w:cs="楷体" w:asciiTheme="minorEastAsia" w:hAnsiTheme="minorEastAsia"/>
          <w:sz w:val="28"/>
          <w:szCs w:val="28"/>
        </w:rPr>
        <w:t>通过选取2019-2024年间Alpha数据库相关案例裁判文书进行梳理，发现商业秘密侵权惩罚性赔偿司法适用不足，实践中诉请率、适用率及判赔支持率较低，且存在同案不同判的现象。深入剖析其缘由，发现适用实体要件不明确、配套程序保障机制不健全、赔偿数额难确定以及法定赔偿定位不准确等问题，这些因素共同制约了惩罚性赔偿制度的有效运行。因此，可以通过明确制度适用实体要件、健全配套保障机制、改进赔偿数额的计算方式、协调法定赔偿与惩罚性赔偿关系等措施，优化我国的商业秘密惩罚性赔偿制度，从而更好地发挥其在商业秘密保护中的预防与保障功能，因应新质生产力的发展需要。</w:t>
      </w:r>
    </w:p>
    <w:p w14:paraId="427358C5">
      <w:pPr>
        <w:spacing w:line="360" w:lineRule="auto"/>
        <w:jc w:val="left"/>
        <w:rPr>
          <w:rFonts w:cs="宋体" w:asciiTheme="minorEastAsia" w:hAnsiTheme="minorEastAsia"/>
          <w:sz w:val="28"/>
          <w:szCs w:val="28"/>
        </w:rPr>
      </w:pPr>
    </w:p>
    <w:p w14:paraId="3F5349D9">
      <w:pPr>
        <w:spacing w:line="360" w:lineRule="auto"/>
        <w:jc w:val="left"/>
        <w:rPr>
          <w:rFonts w:asciiTheme="minorEastAsia" w:hAnsiTheme="minorEastAsia" w:cstheme="minorEastAsia"/>
          <w:b/>
          <w:bCs/>
          <w:sz w:val="24"/>
        </w:rPr>
      </w:pPr>
    </w:p>
    <w:p w14:paraId="42130BBE">
      <w:pPr>
        <w:spacing w:line="360" w:lineRule="auto"/>
        <w:jc w:val="left"/>
        <w:rPr>
          <w:rFonts w:ascii="宋体" w:hAnsi="宋体" w:eastAsia="宋体" w:cs="宋体"/>
          <w:sz w:val="24"/>
        </w:rPr>
      </w:pPr>
      <w:r>
        <w:rPr>
          <w:rFonts w:hint="eastAsia" w:asciiTheme="minorEastAsia" w:hAnsiTheme="minorEastAsia" w:cstheme="minorEastAsia"/>
          <w:b/>
          <w:bCs/>
          <w:sz w:val="24"/>
        </w:rPr>
        <w:t>主要创新观点</w:t>
      </w:r>
      <w:r>
        <w:rPr>
          <w:rFonts w:hint="eastAsia" w:asciiTheme="minorEastAsia" w:hAnsiTheme="minorEastAsia" w:cstheme="minorEastAsia"/>
          <w:sz w:val="24"/>
        </w:rPr>
        <w:t>：商业秘密侵权惩罚性赔偿制度的优化应当立足于商业秘密权利的秘密性这一根本特征，以强化商业秘密保护为理念，比例原则为指导，将商业秘密惩罚性赔偿适用的主观要件限定为直接故意，情节严重的认定客观化，调整举证责任分配，严格证明标准，改进赔偿数额的计算，将法定赔偿回归其补偿属性，激活惩罚性赔偿制度的适用。</w:t>
      </w:r>
    </w:p>
    <w:p w14:paraId="78602C50">
      <w:pPr>
        <w:spacing w:line="360" w:lineRule="auto"/>
        <w:jc w:val="left"/>
        <w:rPr>
          <w:rFonts w:ascii="宋体" w:hAnsi="宋体" w:eastAsia="宋体" w:cs="宋体"/>
          <w:sz w:val="24"/>
        </w:rPr>
      </w:pPr>
    </w:p>
    <w:p w14:paraId="4798EB9A">
      <w:pPr>
        <w:spacing w:line="360" w:lineRule="auto"/>
        <w:jc w:val="left"/>
        <w:rPr>
          <w:rFonts w:ascii="宋体" w:hAnsi="宋体" w:eastAsia="宋体" w:cs="宋体"/>
          <w:sz w:val="24"/>
        </w:rPr>
      </w:pPr>
    </w:p>
    <w:p w14:paraId="741C8F9A">
      <w:pPr>
        <w:spacing w:line="360" w:lineRule="auto"/>
        <w:ind w:firstLine="482" w:firstLineChars="200"/>
        <w:rPr>
          <w:rFonts w:ascii="宋体" w:hAnsi="宋体" w:eastAsia="宋体" w:cs="宋体"/>
          <w:b/>
          <w:bCs/>
          <w:sz w:val="24"/>
        </w:rPr>
      </w:pPr>
    </w:p>
    <w:p w14:paraId="71187068">
      <w:pPr>
        <w:spacing w:line="360" w:lineRule="auto"/>
        <w:ind w:firstLine="482" w:firstLineChars="200"/>
        <w:rPr>
          <w:rFonts w:ascii="宋体" w:hAnsi="宋体" w:eastAsia="宋体" w:cs="宋体"/>
          <w:b/>
          <w:bCs/>
          <w:sz w:val="24"/>
        </w:rPr>
      </w:pPr>
    </w:p>
    <w:p w14:paraId="193DE0EE">
      <w:pPr>
        <w:widowControl/>
        <w:jc w:val="left"/>
        <w:rPr>
          <w:rFonts w:ascii="宋体" w:hAnsi="宋体" w:eastAsia="宋体" w:cs="宋体"/>
          <w:b/>
          <w:bCs/>
          <w:sz w:val="24"/>
        </w:rPr>
      </w:pPr>
      <w:r>
        <w:rPr>
          <w:rFonts w:ascii="宋体" w:hAnsi="宋体" w:eastAsia="宋体" w:cs="宋体"/>
          <w:b/>
          <w:bCs/>
          <w:sz w:val="24"/>
        </w:rPr>
        <w:br w:type="page"/>
      </w:r>
    </w:p>
    <w:p w14:paraId="468CCD65">
      <w:pPr>
        <w:spacing w:line="360" w:lineRule="auto"/>
        <w:ind w:firstLine="482" w:firstLineChars="200"/>
        <w:rPr>
          <w:rFonts w:ascii="宋体" w:hAnsi="宋体" w:eastAsia="宋体" w:cs="宋体"/>
          <w:b/>
          <w:bCs/>
          <w:sz w:val="24"/>
        </w:rPr>
      </w:pPr>
      <w:r>
        <w:rPr>
          <w:rFonts w:hint="eastAsia" w:ascii="宋体" w:hAnsi="宋体" w:eastAsia="宋体" w:cs="宋体"/>
          <w:b/>
          <w:bCs/>
          <w:sz w:val="24"/>
        </w:rPr>
        <w:t>以下正文：</w:t>
      </w:r>
    </w:p>
    <w:p w14:paraId="6BF3EAA3">
      <w:pPr>
        <w:spacing w:line="360" w:lineRule="auto"/>
        <w:ind w:firstLine="482" w:firstLineChars="200"/>
        <w:rPr>
          <w:rFonts w:ascii="宋体" w:hAnsi="宋体" w:eastAsia="宋体" w:cs="宋体"/>
          <w:b/>
          <w:bCs/>
          <w:sz w:val="24"/>
        </w:rPr>
      </w:pPr>
      <w:r>
        <w:rPr>
          <w:rFonts w:hint="eastAsia" w:ascii="宋体" w:hAnsi="宋体" w:eastAsia="宋体" w:cs="宋体"/>
          <w:b/>
          <w:bCs/>
          <w:sz w:val="24"/>
        </w:rPr>
        <w:t>引言</w:t>
      </w:r>
    </w:p>
    <w:p w14:paraId="4BFDB0CD">
      <w:pPr>
        <w:spacing w:line="360" w:lineRule="auto"/>
        <w:ind w:firstLine="480" w:firstLineChars="200"/>
        <w:rPr>
          <w:rFonts w:ascii="宋体" w:hAnsi="宋体" w:eastAsia="宋体" w:cs="宋体"/>
          <w:sz w:val="24"/>
        </w:rPr>
      </w:pPr>
      <w:r>
        <w:rPr>
          <w:rFonts w:hint="eastAsia" w:ascii="宋体" w:hAnsi="宋体" w:eastAsia="宋体" w:cs="宋体"/>
          <w:sz w:val="24"/>
        </w:rPr>
        <w:t>近年来，随着知识产权保护意识的强化，来源于英美侵权法中的惩罚性赔偿制度在我国知识产权法中基本实现了全覆盖，包括商业秘密侵犯惩罚性赔偿规则，</w:t>
      </w:r>
      <w:r>
        <w:rPr>
          <w:rStyle w:val="10"/>
          <w:rFonts w:ascii="宋体" w:hAnsi="宋体" w:eastAsia="宋体" w:cs="宋体"/>
          <w:sz w:val="24"/>
        </w:rPr>
        <w:footnoteReference w:id="0"/>
      </w:r>
      <w:r>
        <w:rPr>
          <w:rFonts w:hint="eastAsia" w:ascii="宋体" w:hAnsi="宋体" w:eastAsia="宋体" w:cs="宋体"/>
          <w:sz w:val="24"/>
        </w:rPr>
        <w:t>但各个单行法之间在惩罚性赔偿适用的条件与赔偿数额的确定等方面也存在一定的差别。为统一司法裁判标准，</w:t>
      </w:r>
      <w:r>
        <w:rPr>
          <w:rFonts w:ascii="宋体" w:hAnsi="宋体" w:eastAsia="宋体" w:cs="宋体"/>
          <w:sz w:val="24"/>
        </w:rPr>
        <w:t xml:space="preserve"> </w:t>
      </w:r>
      <w:r>
        <w:rPr>
          <w:rFonts w:hint="eastAsia" w:ascii="宋体" w:hAnsi="宋体" w:eastAsia="宋体" w:cs="宋体"/>
          <w:sz w:val="24"/>
        </w:rPr>
        <w:t>2021年3月2日发布的《最高人民法院关于审理侵害知识产权民事案件适用惩罚性赔偿的解释》（法释〔2021〕4号，以下简称《知识产权侵权惩罚性赔偿解释》），对在司法适用中的一些争议问题作出了规定，一定程度上提升了知识产权侵权领域适用惩罚性赔偿的准确度。我们以2019年《反不正当竞争法》第17条第3款确立以来近5年的商业秘密侵权惩罚性赔偿制度的适用案例为对象，通过对判决文书的统计分析，梳理商业秘密惩罚性赔偿制度适用的现状，并指出其存在的问题，剖析问题的生成原因，在此基础上以强化商业秘密保护为指引，提出改进建议，以期为商业秘密惩罚性赔偿规则的妥善适用与制度完善有所裨益。</w:t>
      </w:r>
    </w:p>
    <w:p w14:paraId="50D341DB">
      <w:pPr>
        <w:spacing w:line="360" w:lineRule="auto"/>
        <w:ind w:firstLine="482" w:firstLineChars="200"/>
        <w:rPr>
          <w:rFonts w:ascii="宋体" w:hAnsi="宋体" w:eastAsia="宋体" w:cs="宋体"/>
          <w:sz w:val="24"/>
        </w:rPr>
      </w:pPr>
      <w:r>
        <w:rPr>
          <w:rFonts w:hint="eastAsia" w:ascii="宋体" w:hAnsi="宋体" w:eastAsia="宋体" w:cs="宋体"/>
          <w:b/>
          <w:sz w:val="24"/>
        </w:rPr>
        <w:t>一、实践样态：</w:t>
      </w:r>
      <w:r>
        <w:rPr>
          <w:rFonts w:hint="eastAsia" w:ascii="宋体" w:hAnsi="宋体" w:eastAsia="宋体" w:cs="宋体"/>
          <w:b/>
          <w:bCs/>
          <w:sz w:val="24"/>
        </w:rPr>
        <w:t>商业秘密侵权惩罚性赔偿制度的司法适用现状</w:t>
      </w:r>
    </w:p>
    <w:p w14:paraId="1661209A">
      <w:pPr>
        <w:spacing w:line="360" w:lineRule="auto"/>
        <w:ind w:firstLine="480" w:firstLineChars="200"/>
        <w:rPr>
          <w:rFonts w:ascii="宋体" w:hAnsi="宋体" w:eastAsia="宋体" w:cs="宋体"/>
          <w:sz w:val="24"/>
        </w:rPr>
      </w:pPr>
      <w:r>
        <w:rPr>
          <w:rFonts w:hint="eastAsia" w:ascii="宋体" w:hAnsi="宋体" w:eastAsia="宋体" w:cs="宋体"/>
          <w:sz w:val="24"/>
        </w:rPr>
        <w:t>基于研究主题与对象的考量，我们以Alpha案件数据库中所能检索到的商业秘密惩罚性赔偿适用案例为研究对象，并将检索限于符合下列条件的公开生效裁判文书：（1）当事人诉请“惩罚性赔偿”；（2）案由“侵犯商业秘密纠纷类”；（3）文书类型“判决”；（4）年限为“2</w:t>
      </w:r>
      <w:r>
        <w:rPr>
          <w:rFonts w:ascii="宋体" w:hAnsi="宋体" w:eastAsia="宋体" w:cs="宋体"/>
          <w:sz w:val="24"/>
        </w:rPr>
        <w:t>019-2024</w:t>
      </w:r>
      <w:r>
        <w:rPr>
          <w:rFonts w:hint="eastAsia" w:ascii="宋体" w:hAnsi="宋体" w:eastAsia="宋体" w:cs="宋体"/>
          <w:sz w:val="24"/>
        </w:rPr>
        <w:t>年”；（5）案件类型“民事”。剔除重复、无关的检索结果后，共搜集到有效案件12起（见表2-1），构成本文的研究样本。</w:t>
      </w:r>
    </w:p>
    <w:p w14:paraId="15459E5F">
      <w:pPr>
        <w:spacing w:line="360" w:lineRule="auto"/>
        <w:ind w:firstLine="422" w:firstLineChars="200"/>
        <w:jc w:val="center"/>
        <w:rPr>
          <w:rFonts w:ascii="宋体" w:hAnsi="宋体" w:eastAsia="宋体" w:cs="宋体"/>
          <w:b/>
          <w:bCs/>
          <w:szCs w:val="21"/>
        </w:rPr>
      </w:pPr>
      <w:r>
        <w:rPr>
          <w:rFonts w:hint="eastAsia" w:ascii="宋体" w:hAnsi="宋体" w:eastAsia="宋体" w:cs="宋体"/>
          <w:b/>
          <w:bCs/>
          <w:szCs w:val="21"/>
        </w:rPr>
        <w:t>表2-1 商业秘密侵权惩罚性赔偿典型案件</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5"/>
        <w:gridCol w:w="1044"/>
        <w:gridCol w:w="1017"/>
        <w:gridCol w:w="939"/>
        <w:gridCol w:w="1017"/>
      </w:tblGrid>
      <w:tr w14:paraId="4102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5047F43">
            <w:pPr>
              <w:spacing w:line="360" w:lineRule="auto"/>
              <w:jc w:val="center"/>
              <w:rPr>
                <w:rFonts w:ascii="宋体" w:hAnsi="宋体" w:eastAsia="宋体" w:cs="宋体"/>
                <w:szCs w:val="21"/>
              </w:rPr>
            </w:pPr>
            <w:r>
              <w:rPr>
                <w:rFonts w:hint="eastAsia" w:ascii="宋体" w:hAnsi="宋体" w:eastAsia="宋体" w:cs="宋体"/>
                <w:szCs w:val="21"/>
              </w:rPr>
              <w:t>案件名称</w:t>
            </w:r>
          </w:p>
        </w:tc>
        <w:tc>
          <w:tcPr>
            <w:tcW w:w="0" w:type="auto"/>
            <w:vAlign w:val="center"/>
          </w:tcPr>
          <w:p w14:paraId="73885A81">
            <w:pPr>
              <w:spacing w:line="360" w:lineRule="auto"/>
              <w:jc w:val="center"/>
              <w:rPr>
                <w:rFonts w:ascii="宋体" w:hAnsi="宋体" w:eastAsia="宋体" w:cs="宋体"/>
                <w:szCs w:val="21"/>
              </w:rPr>
            </w:pPr>
            <w:r>
              <w:rPr>
                <w:rFonts w:hint="eastAsia" w:ascii="宋体" w:hAnsi="宋体" w:eastAsia="宋体" w:cs="宋体"/>
                <w:szCs w:val="21"/>
              </w:rPr>
              <w:t>诉请赔偿</w:t>
            </w:r>
          </w:p>
        </w:tc>
        <w:tc>
          <w:tcPr>
            <w:tcW w:w="0" w:type="auto"/>
            <w:vAlign w:val="center"/>
          </w:tcPr>
          <w:p w14:paraId="06422158">
            <w:pPr>
              <w:spacing w:line="360" w:lineRule="auto"/>
              <w:jc w:val="center"/>
              <w:rPr>
                <w:rFonts w:ascii="宋体" w:hAnsi="宋体" w:eastAsia="宋体" w:cs="宋体"/>
                <w:szCs w:val="21"/>
              </w:rPr>
            </w:pPr>
            <w:r>
              <w:rPr>
                <w:rFonts w:hint="eastAsia" w:ascii="宋体" w:hAnsi="宋体" w:eastAsia="宋体" w:cs="宋体"/>
                <w:szCs w:val="21"/>
              </w:rPr>
              <w:t>是否适用惩罚性赔偿</w:t>
            </w:r>
          </w:p>
        </w:tc>
        <w:tc>
          <w:tcPr>
            <w:tcW w:w="0" w:type="auto"/>
            <w:vAlign w:val="center"/>
          </w:tcPr>
          <w:p w14:paraId="6B4C5BC6">
            <w:pPr>
              <w:spacing w:line="360" w:lineRule="auto"/>
              <w:jc w:val="center"/>
              <w:rPr>
                <w:rFonts w:ascii="宋体" w:hAnsi="宋体" w:eastAsia="宋体" w:cs="宋体"/>
                <w:szCs w:val="21"/>
              </w:rPr>
            </w:pPr>
            <w:r>
              <w:rPr>
                <w:rFonts w:hint="eastAsia" w:ascii="宋体" w:hAnsi="宋体" w:eastAsia="宋体" w:cs="宋体"/>
                <w:szCs w:val="21"/>
              </w:rPr>
              <w:t>赔偿数额</w:t>
            </w:r>
          </w:p>
        </w:tc>
        <w:tc>
          <w:tcPr>
            <w:tcW w:w="0" w:type="auto"/>
            <w:vAlign w:val="center"/>
          </w:tcPr>
          <w:p w14:paraId="13454268">
            <w:pPr>
              <w:spacing w:line="360" w:lineRule="auto"/>
              <w:jc w:val="center"/>
              <w:rPr>
                <w:rFonts w:ascii="宋体" w:hAnsi="宋体" w:eastAsia="宋体" w:cs="宋体"/>
                <w:szCs w:val="21"/>
              </w:rPr>
            </w:pPr>
            <w:r>
              <w:rPr>
                <w:rFonts w:hint="eastAsia" w:ascii="宋体" w:hAnsi="宋体" w:eastAsia="宋体" w:cs="宋体"/>
                <w:szCs w:val="21"/>
              </w:rPr>
              <w:t>赔偿数额的计算方式</w:t>
            </w:r>
          </w:p>
        </w:tc>
      </w:tr>
      <w:tr w14:paraId="5098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C505C3E">
            <w:pPr>
              <w:spacing w:line="360" w:lineRule="auto"/>
              <w:jc w:val="center"/>
              <w:rPr>
                <w:rFonts w:ascii="宋体" w:hAnsi="宋体" w:eastAsia="宋体" w:cs="宋体"/>
                <w:szCs w:val="21"/>
              </w:rPr>
            </w:pPr>
            <w:r>
              <w:rPr>
                <w:rFonts w:hint="eastAsia" w:ascii="宋体" w:hAnsi="宋体" w:eastAsia="宋体" w:cs="宋体"/>
                <w:szCs w:val="21"/>
              </w:rPr>
              <w:t>香港某开发公司、魏某乙等侵害商业秘密纠纷</w:t>
            </w:r>
            <w:r>
              <w:rPr>
                <w:rStyle w:val="10"/>
                <w:rFonts w:hint="eastAsia" w:ascii="宋体" w:hAnsi="宋体" w:eastAsia="宋体" w:cs="宋体"/>
                <w:szCs w:val="21"/>
              </w:rPr>
              <w:footnoteReference w:id="1"/>
            </w:r>
          </w:p>
        </w:tc>
        <w:tc>
          <w:tcPr>
            <w:tcW w:w="0" w:type="auto"/>
            <w:vAlign w:val="center"/>
          </w:tcPr>
          <w:p w14:paraId="6CE27A37">
            <w:pPr>
              <w:spacing w:line="360" w:lineRule="auto"/>
              <w:jc w:val="center"/>
              <w:rPr>
                <w:rFonts w:ascii="宋体" w:hAnsi="宋体" w:eastAsia="宋体" w:cs="宋体"/>
                <w:szCs w:val="21"/>
              </w:rPr>
            </w:pPr>
            <w:r>
              <w:rPr>
                <w:rFonts w:hint="eastAsia" w:ascii="宋体" w:hAnsi="宋体" w:eastAsia="宋体" w:cs="宋体"/>
                <w:szCs w:val="21"/>
              </w:rPr>
              <w:t>1700万</w:t>
            </w:r>
          </w:p>
        </w:tc>
        <w:tc>
          <w:tcPr>
            <w:tcW w:w="0" w:type="auto"/>
            <w:vAlign w:val="center"/>
          </w:tcPr>
          <w:p w14:paraId="533F9BB2">
            <w:pPr>
              <w:spacing w:line="360" w:lineRule="auto"/>
              <w:jc w:val="center"/>
              <w:rPr>
                <w:rFonts w:ascii="宋体" w:hAnsi="宋体" w:eastAsia="宋体" w:cs="宋体"/>
                <w:szCs w:val="21"/>
              </w:rPr>
            </w:pPr>
            <w:r>
              <w:rPr>
                <w:rFonts w:hint="eastAsia" w:ascii="宋体" w:hAnsi="宋体" w:eastAsia="宋体" w:cs="宋体"/>
                <w:szCs w:val="21"/>
              </w:rPr>
              <w:t>不适用</w:t>
            </w:r>
          </w:p>
        </w:tc>
        <w:tc>
          <w:tcPr>
            <w:tcW w:w="0" w:type="auto"/>
            <w:vAlign w:val="center"/>
          </w:tcPr>
          <w:p w14:paraId="3B086839">
            <w:pPr>
              <w:spacing w:line="360" w:lineRule="auto"/>
              <w:jc w:val="center"/>
              <w:rPr>
                <w:rFonts w:ascii="宋体" w:hAnsi="宋体" w:eastAsia="宋体" w:cs="宋体"/>
                <w:szCs w:val="21"/>
              </w:rPr>
            </w:pPr>
            <w:r>
              <w:rPr>
                <w:rFonts w:hint="eastAsia" w:ascii="宋体" w:hAnsi="宋体" w:eastAsia="宋体" w:cs="宋体"/>
                <w:szCs w:val="21"/>
              </w:rPr>
              <w:t>302万</w:t>
            </w:r>
          </w:p>
        </w:tc>
        <w:tc>
          <w:tcPr>
            <w:tcW w:w="0" w:type="auto"/>
            <w:vAlign w:val="center"/>
          </w:tcPr>
          <w:p w14:paraId="131C80B8">
            <w:pPr>
              <w:tabs>
                <w:tab w:val="left" w:pos="412"/>
              </w:tabs>
              <w:spacing w:line="360" w:lineRule="auto"/>
              <w:jc w:val="center"/>
              <w:rPr>
                <w:rFonts w:ascii="宋体" w:hAnsi="宋体" w:eastAsia="宋体" w:cs="宋体"/>
                <w:szCs w:val="21"/>
              </w:rPr>
            </w:pPr>
            <w:r>
              <w:rPr>
                <w:rFonts w:hint="eastAsia" w:ascii="宋体" w:hAnsi="宋体" w:eastAsia="宋体" w:cs="宋体"/>
                <w:szCs w:val="21"/>
              </w:rPr>
              <w:t>法定</w:t>
            </w:r>
          </w:p>
        </w:tc>
      </w:tr>
      <w:tr w14:paraId="46F4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DA622E1">
            <w:pPr>
              <w:spacing w:line="360" w:lineRule="auto"/>
              <w:jc w:val="center"/>
              <w:rPr>
                <w:rFonts w:ascii="宋体" w:hAnsi="宋体" w:eastAsia="宋体" w:cs="宋体"/>
                <w:szCs w:val="21"/>
              </w:rPr>
            </w:pPr>
            <w:r>
              <w:rPr>
                <w:rFonts w:hint="eastAsia" w:ascii="宋体" w:hAnsi="宋体" w:eastAsia="宋体" w:cs="宋体"/>
                <w:szCs w:val="21"/>
              </w:rPr>
              <w:t>珠海某医疗有限公司、向某某侵害技术秘密纠纷</w:t>
            </w:r>
            <w:r>
              <w:rPr>
                <w:rStyle w:val="10"/>
                <w:rFonts w:hint="eastAsia" w:ascii="宋体" w:hAnsi="宋体" w:eastAsia="宋体" w:cs="宋体"/>
                <w:szCs w:val="21"/>
              </w:rPr>
              <w:footnoteReference w:id="2"/>
            </w:r>
          </w:p>
        </w:tc>
        <w:tc>
          <w:tcPr>
            <w:tcW w:w="0" w:type="auto"/>
            <w:vAlign w:val="center"/>
          </w:tcPr>
          <w:p w14:paraId="30210FFA">
            <w:pPr>
              <w:spacing w:line="360" w:lineRule="auto"/>
              <w:jc w:val="center"/>
              <w:rPr>
                <w:rFonts w:ascii="宋体" w:hAnsi="宋体" w:eastAsia="宋体" w:cs="宋体"/>
                <w:szCs w:val="21"/>
              </w:rPr>
            </w:pPr>
            <w:r>
              <w:rPr>
                <w:rFonts w:hint="eastAsia" w:ascii="宋体" w:hAnsi="宋体" w:eastAsia="宋体" w:cs="宋体"/>
                <w:szCs w:val="21"/>
              </w:rPr>
              <w:t>1146.79万</w:t>
            </w:r>
          </w:p>
        </w:tc>
        <w:tc>
          <w:tcPr>
            <w:tcW w:w="0" w:type="auto"/>
            <w:vAlign w:val="center"/>
          </w:tcPr>
          <w:p w14:paraId="023C2EB7">
            <w:pPr>
              <w:spacing w:line="360" w:lineRule="auto"/>
              <w:jc w:val="center"/>
              <w:rPr>
                <w:rFonts w:ascii="宋体" w:hAnsi="宋体" w:eastAsia="宋体" w:cs="宋体"/>
                <w:szCs w:val="21"/>
              </w:rPr>
            </w:pPr>
            <w:r>
              <w:rPr>
                <w:rFonts w:hint="eastAsia" w:ascii="宋体" w:hAnsi="宋体" w:eastAsia="宋体" w:cs="宋体"/>
                <w:szCs w:val="21"/>
              </w:rPr>
              <w:t>不适用</w:t>
            </w:r>
          </w:p>
        </w:tc>
        <w:tc>
          <w:tcPr>
            <w:tcW w:w="0" w:type="auto"/>
            <w:vAlign w:val="center"/>
          </w:tcPr>
          <w:p w14:paraId="606DDB8D">
            <w:pPr>
              <w:spacing w:line="360" w:lineRule="auto"/>
              <w:jc w:val="center"/>
              <w:rPr>
                <w:rFonts w:ascii="宋体" w:hAnsi="宋体" w:eastAsia="宋体" w:cs="宋体"/>
                <w:szCs w:val="21"/>
              </w:rPr>
            </w:pPr>
            <w:r>
              <w:rPr>
                <w:rFonts w:hint="eastAsia" w:ascii="宋体" w:hAnsi="宋体" w:eastAsia="宋体" w:cs="宋体"/>
                <w:szCs w:val="21"/>
              </w:rPr>
              <w:t>33万</w:t>
            </w:r>
          </w:p>
        </w:tc>
        <w:tc>
          <w:tcPr>
            <w:tcW w:w="0" w:type="auto"/>
            <w:vAlign w:val="center"/>
          </w:tcPr>
          <w:p w14:paraId="4AAAB985">
            <w:pPr>
              <w:spacing w:line="360" w:lineRule="auto"/>
              <w:jc w:val="center"/>
              <w:rPr>
                <w:rFonts w:ascii="宋体" w:hAnsi="宋体" w:eastAsia="宋体" w:cs="宋体"/>
                <w:szCs w:val="21"/>
              </w:rPr>
            </w:pPr>
            <w:r>
              <w:rPr>
                <w:rFonts w:hint="eastAsia" w:ascii="宋体" w:hAnsi="宋体" w:eastAsia="宋体" w:cs="宋体"/>
                <w:szCs w:val="21"/>
              </w:rPr>
              <w:t>法定</w:t>
            </w:r>
          </w:p>
        </w:tc>
      </w:tr>
      <w:tr w14:paraId="19CA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1B68C76">
            <w:pPr>
              <w:spacing w:line="360" w:lineRule="auto"/>
              <w:jc w:val="center"/>
              <w:rPr>
                <w:rFonts w:ascii="宋体" w:hAnsi="宋体" w:eastAsia="宋体" w:cs="宋体"/>
                <w:szCs w:val="21"/>
              </w:rPr>
            </w:pPr>
            <w:r>
              <w:rPr>
                <w:rFonts w:hint="eastAsia" w:ascii="宋体" w:hAnsi="宋体" w:eastAsia="宋体" w:cs="宋体"/>
                <w:szCs w:val="21"/>
              </w:rPr>
              <w:t>北京某公司侵害技术秘密纠纷案</w:t>
            </w:r>
            <w:r>
              <w:rPr>
                <w:rStyle w:val="10"/>
                <w:rFonts w:hint="eastAsia" w:ascii="宋体" w:hAnsi="宋体" w:eastAsia="宋体" w:cs="宋体"/>
                <w:szCs w:val="21"/>
              </w:rPr>
              <w:footnoteReference w:id="3"/>
            </w:r>
          </w:p>
        </w:tc>
        <w:tc>
          <w:tcPr>
            <w:tcW w:w="0" w:type="auto"/>
            <w:vAlign w:val="center"/>
          </w:tcPr>
          <w:p w14:paraId="6BE69976">
            <w:pPr>
              <w:spacing w:line="360" w:lineRule="auto"/>
              <w:jc w:val="center"/>
              <w:rPr>
                <w:rFonts w:ascii="宋体" w:hAnsi="宋体" w:eastAsia="宋体" w:cs="宋体"/>
                <w:szCs w:val="21"/>
              </w:rPr>
            </w:pPr>
            <w:r>
              <w:rPr>
                <w:rFonts w:hint="eastAsia" w:ascii="宋体" w:hAnsi="宋体" w:eastAsia="宋体" w:cs="宋体"/>
                <w:szCs w:val="21"/>
              </w:rPr>
              <w:t>300万</w:t>
            </w:r>
          </w:p>
        </w:tc>
        <w:tc>
          <w:tcPr>
            <w:tcW w:w="0" w:type="auto"/>
            <w:vAlign w:val="center"/>
          </w:tcPr>
          <w:p w14:paraId="4E219E93">
            <w:pPr>
              <w:spacing w:line="360" w:lineRule="auto"/>
              <w:jc w:val="center"/>
              <w:rPr>
                <w:rFonts w:ascii="宋体" w:hAnsi="宋体" w:eastAsia="宋体" w:cs="宋体"/>
                <w:szCs w:val="21"/>
              </w:rPr>
            </w:pPr>
            <w:r>
              <w:rPr>
                <w:rFonts w:hint="eastAsia" w:ascii="宋体" w:hAnsi="宋体" w:eastAsia="宋体" w:cs="宋体"/>
                <w:szCs w:val="21"/>
              </w:rPr>
              <w:t>不适用</w:t>
            </w:r>
          </w:p>
        </w:tc>
        <w:tc>
          <w:tcPr>
            <w:tcW w:w="0" w:type="auto"/>
            <w:vAlign w:val="center"/>
          </w:tcPr>
          <w:p w14:paraId="327EF711">
            <w:pPr>
              <w:spacing w:line="360" w:lineRule="auto"/>
              <w:jc w:val="center"/>
              <w:rPr>
                <w:rFonts w:ascii="宋体" w:hAnsi="宋体" w:eastAsia="宋体" w:cs="宋体"/>
                <w:szCs w:val="21"/>
              </w:rPr>
            </w:pPr>
            <w:r>
              <w:rPr>
                <w:rFonts w:hint="eastAsia" w:ascii="宋体" w:hAnsi="宋体" w:eastAsia="宋体" w:cs="宋体"/>
                <w:szCs w:val="21"/>
              </w:rPr>
              <w:t>100万</w:t>
            </w:r>
          </w:p>
        </w:tc>
        <w:tc>
          <w:tcPr>
            <w:tcW w:w="0" w:type="auto"/>
            <w:vAlign w:val="center"/>
          </w:tcPr>
          <w:p w14:paraId="53AFF778">
            <w:pPr>
              <w:spacing w:line="360" w:lineRule="auto"/>
              <w:jc w:val="center"/>
              <w:rPr>
                <w:rFonts w:ascii="宋体" w:hAnsi="宋体" w:eastAsia="宋体" w:cs="宋体"/>
                <w:szCs w:val="21"/>
              </w:rPr>
            </w:pPr>
            <w:r>
              <w:rPr>
                <w:rFonts w:hint="eastAsia" w:ascii="宋体" w:hAnsi="宋体" w:eastAsia="宋体" w:cs="宋体"/>
                <w:szCs w:val="21"/>
              </w:rPr>
              <w:t>法定</w:t>
            </w:r>
          </w:p>
        </w:tc>
      </w:tr>
      <w:tr w14:paraId="6A4C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23941A1">
            <w:pPr>
              <w:spacing w:line="360" w:lineRule="auto"/>
              <w:jc w:val="center"/>
              <w:rPr>
                <w:rFonts w:ascii="宋体" w:hAnsi="宋体" w:eastAsia="宋体" w:cs="宋体"/>
                <w:szCs w:val="21"/>
              </w:rPr>
            </w:pPr>
            <w:r>
              <w:rPr>
                <w:rFonts w:hint="eastAsia" w:ascii="宋体" w:hAnsi="宋体" w:eastAsia="宋体" w:cs="宋体"/>
                <w:szCs w:val="21"/>
              </w:rPr>
              <w:t>佛山市某新材料科技有限公司、佛山市某粘胶科技有限公司等侵害技术秘密纠纷</w:t>
            </w:r>
            <w:r>
              <w:rPr>
                <w:rStyle w:val="10"/>
                <w:rFonts w:hint="eastAsia" w:ascii="宋体" w:hAnsi="宋体" w:eastAsia="宋体" w:cs="宋体"/>
                <w:szCs w:val="21"/>
              </w:rPr>
              <w:footnoteReference w:id="4"/>
            </w:r>
          </w:p>
        </w:tc>
        <w:tc>
          <w:tcPr>
            <w:tcW w:w="0" w:type="auto"/>
            <w:vAlign w:val="center"/>
          </w:tcPr>
          <w:p w14:paraId="6C19944B">
            <w:pPr>
              <w:spacing w:line="360" w:lineRule="auto"/>
              <w:jc w:val="center"/>
              <w:rPr>
                <w:rFonts w:ascii="宋体" w:hAnsi="宋体" w:eastAsia="宋体" w:cs="宋体"/>
                <w:szCs w:val="21"/>
              </w:rPr>
            </w:pPr>
            <w:r>
              <w:rPr>
                <w:rFonts w:hint="eastAsia" w:ascii="宋体" w:hAnsi="宋体" w:eastAsia="宋体" w:cs="宋体"/>
                <w:szCs w:val="21"/>
              </w:rPr>
              <w:t>396.2万</w:t>
            </w:r>
          </w:p>
        </w:tc>
        <w:tc>
          <w:tcPr>
            <w:tcW w:w="0" w:type="auto"/>
            <w:vAlign w:val="center"/>
          </w:tcPr>
          <w:p w14:paraId="781A45FD">
            <w:pPr>
              <w:spacing w:line="360" w:lineRule="auto"/>
              <w:jc w:val="center"/>
              <w:rPr>
                <w:rFonts w:ascii="宋体" w:hAnsi="宋体" w:eastAsia="宋体" w:cs="宋体"/>
                <w:szCs w:val="21"/>
              </w:rPr>
            </w:pPr>
            <w:r>
              <w:rPr>
                <w:rFonts w:hint="eastAsia" w:ascii="宋体" w:hAnsi="宋体" w:eastAsia="宋体" w:cs="宋体"/>
                <w:szCs w:val="21"/>
              </w:rPr>
              <w:t>不适用</w:t>
            </w:r>
          </w:p>
        </w:tc>
        <w:tc>
          <w:tcPr>
            <w:tcW w:w="0" w:type="auto"/>
            <w:vAlign w:val="center"/>
          </w:tcPr>
          <w:p w14:paraId="662AAEF1">
            <w:pPr>
              <w:spacing w:line="360" w:lineRule="auto"/>
              <w:jc w:val="center"/>
              <w:rPr>
                <w:rFonts w:ascii="宋体" w:hAnsi="宋体" w:eastAsia="宋体" w:cs="宋体"/>
                <w:szCs w:val="21"/>
              </w:rPr>
            </w:pPr>
            <w:r>
              <w:rPr>
                <w:rFonts w:hint="eastAsia" w:ascii="宋体" w:hAnsi="宋体" w:eastAsia="宋体" w:cs="宋体"/>
                <w:szCs w:val="21"/>
              </w:rPr>
              <w:t>61万</w:t>
            </w:r>
          </w:p>
        </w:tc>
        <w:tc>
          <w:tcPr>
            <w:tcW w:w="0" w:type="auto"/>
            <w:vAlign w:val="center"/>
          </w:tcPr>
          <w:p w14:paraId="443901F6">
            <w:pPr>
              <w:spacing w:line="360" w:lineRule="auto"/>
              <w:jc w:val="center"/>
              <w:rPr>
                <w:rFonts w:ascii="宋体" w:hAnsi="宋体" w:eastAsia="宋体" w:cs="宋体"/>
                <w:szCs w:val="21"/>
              </w:rPr>
            </w:pPr>
            <w:r>
              <w:rPr>
                <w:rFonts w:hint="eastAsia" w:ascii="宋体" w:hAnsi="宋体" w:eastAsia="宋体" w:cs="宋体"/>
                <w:szCs w:val="21"/>
              </w:rPr>
              <w:t>法定</w:t>
            </w:r>
          </w:p>
        </w:tc>
      </w:tr>
      <w:tr w14:paraId="5E8D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308E96F">
            <w:pPr>
              <w:spacing w:line="360" w:lineRule="auto"/>
              <w:jc w:val="center"/>
              <w:rPr>
                <w:rFonts w:ascii="宋体" w:hAnsi="宋体" w:eastAsia="宋体" w:cs="宋体"/>
                <w:szCs w:val="21"/>
              </w:rPr>
            </w:pPr>
            <w:r>
              <w:rPr>
                <w:rFonts w:hint="eastAsia" w:ascii="宋体" w:hAnsi="宋体" w:eastAsia="宋体" w:cs="宋体"/>
                <w:szCs w:val="21"/>
              </w:rPr>
              <w:t>河北华穗种业有限公司、昌吉州西亚种子有限责任公司侵害技术秘密纠纷</w:t>
            </w:r>
            <w:r>
              <w:rPr>
                <w:rStyle w:val="10"/>
                <w:rFonts w:hint="eastAsia" w:ascii="宋体" w:hAnsi="宋体" w:eastAsia="宋体" w:cs="宋体"/>
                <w:szCs w:val="21"/>
              </w:rPr>
              <w:footnoteReference w:id="5"/>
            </w:r>
          </w:p>
        </w:tc>
        <w:tc>
          <w:tcPr>
            <w:tcW w:w="0" w:type="auto"/>
            <w:vAlign w:val="center"/>
          </w:tcPr>
          <w:p w14:paraId="3399D8F6">
            <w:pPr>
              <w:spacing w:line="360" w:lineRule="auto"/>
              <w:jc w:val="center"/>
              <w:rPr>
                <w:rFonts w:ascii="宋体" w:hAnsi="宋体" w:eastAsia="宋体" w:cs="宋体"/>
                <w:szCs w:val="21"/>
              </w:rPr>
            </w:pPr>
            <w:r>
              <w:rPr>
                <w:rFonts w:hint="eastAsia" w:ascii="宋体" w:hAnsi="宋体" w:eastAsia="宋体" w:cs="宋体"/>
                <w:szCs w:val="21"/>
              </w:rPr>
              <w:t>400万</w:t>
            </w:r>
          </w:p>
        </w:tc>
        <w:tc>
          <w:tcPr>
            <w:tcW w:w="0" w:type="auto"/>
            <w:vAlign w:val="center"/>
          </w:tcPr>
          <w:p w14:paraId="4C02AED6">
            <w:pPr>
              <w:spacing w:line="360" w:lineRule="auto"/>
              <w:jc w:val="center"/>
              <w:rPr>
                <w:rFonts w:ascii="宋体" w:hAnsi="宋体" w:eastAsia="宋体" w:cs="宋体"/>
                <w:szCs w:val="21"/>
              </w:rPr>
            </w:pPr>
            <w:r>
              <w:rPr>
                <w:rFonts w:hint="eastAsia" w:ascii="宋体" w:hAnsi="宋体" w:eastAsia="宋体" w:cs="宋体"/>
                <w:szCs w:val="21"/>
              </w:rPr>
              <w:t>不适用</w:t>
            </w:r>
          </w:p>
        </w:tc>
        <w:tc>
          <w:tcPr>
            <w:tcW w:w="0" w:type="auto"/>
            <w:vAlign w:val="center"/>
          </w:tcPr>
          <w:p w14:paraId="6186B883">
            <w:pPr>
              <w:spacing w:line="360" w:lineRule="auto"/>
              <w:jc w:val="center"/>
              <w:rPr>
                <w:rFonts w:ascii="宋体" w:hAnsi="宋体" w:eastAsia="宋体" w:cs="宋体"/>
                <w:szCs w:val="21"/>
              </w:rPr>
            </w:pPr>
            <w:r>
              <w:rPr>
                <w:rFonts w:hint="eastAsia" w:ascii="宋体" w:hAnsi="宋体" w:eastAsia="宋体" w:cs="宋体"/>
                <w:szCs w:val="21"/>
              </w:rPr>
              <w:t>70万</w:t>
            </w:r>
          </w:p>
        </w:tc>
        <w:tc>
          <w:tcPr>
            <w:tcW w:w="0" w:type="auto"/>
            <w:vAlign w:val="center"/>
          </w:tcPr>
          <w:p w14:paraId="21370AD3">
            <w:pPr>
              <w:spacing w:line="360" w:lineRule="auto"/>
              <w:jc w:val="center"/>
              <w:rPr>
                <w:rFonts w:ascii="宋体" w:hAnsi="宋体" w:eastAsia="宋体" w:cs="宋体"/>
                <w:szCs w:val="21"/>
              </w:rPr>
            </w:pPr>
            <w:r>
              <w:rPr>
                <w:rFonts w:hint="eastAsia" w:ascii="宋体" w:hAnsi="宋体" w:eastAsia="宋体" w:cs="宋体"/>
                <w:szCs w:val="21"/>
              </w:rPr>
              <w:t>法定</w:t>
            </w:r>
          </w:p>
        </w:tc>
      </w:tr>
      <w:tr w14:paraId="447F1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9736D11">
            <w:pPr>
              <w:spacing w:line="360" w:lineRule="auto"/>
              <w:jc w:val="center"/>
              <w:rPr>
                <w:rFonts w:ascii="宋体" w:hAnsi="宋体" w:eastAsia="宋体" w:cs="宋体"/>
                <w:szCs w:val="21"/>
              </w:rPr>
            </w:pPr>
            <w:r>
              <w:rPr>
                <w:rFonts w:hint="eastAsia" w:ascii="宋体" w:hAnsi="宋体" w:eastAsia="宋体" w:cs="宋体"/>
                <w:szCs w:val="21"/>
              </w:rPr>
              <w:t>山东某能源股份有限公司、王某某等侵害技术秘密纠纷</w:t>
            </w:r>
            <w:r>
              <w:rPr>
                <w:rStyle w:val="10"/>
                <w:rFonts w:hint="eastAsia" w:ascii="宋体" w:hAnsi="宋体" w:eastAsia="宋体" w:cs="宋体"/>
                <w:szCs w:val="21"/>
              </w:rPr>
              <w:footnoteReference w:id="6"/>
            </w:r>
          </w:p>
        </w:tc>
        <w:tc>
          <w:tcPr>
            <w:tcW w:w="0" w:type="auto"/>
            <w:vAlign w:val="center"/>
          </w:tcPr>
          <w:p w14:paraId="1B29C9D1">
            <w:pPr>
              <w:spacing w:line="360" w:lineRule="auto"/>
              <w:jc w:val="center"/>
              <w:rPr>
                <w:rFonts w:ascii="宋体" w:hAnsi="宋体" w:eastAsia="宋体" w:cs="宋体"/>
                <w:szCs w:val="21"/>
              </w:rPr>
            </w:pPr>
            <w:r>
              <w:rPr>
                <w:rFonts w:hint="eastAsia" w:ascii="宋体" w:hAnsi="宋体" w:eastAsia="宋体" w:cs="宋体"/>
                <w:szCs w:val="21"/>
              </w:rPr>
              <w:t>1396.61万</w:t>
            </w:r>
          </w:p>
        </w:tc>
        <w:tc>
          <w:tcPr>
            <w:tcW w:w="0" w:type="auto"/>
            <w:vAlign w:val="center"/>
          </w:tcPr>
          <w:p w14:paraId="041F11AE">
            <w:pPr>
              <w:spacing w:line="360" w:lineRule="auto"/>
              <w:jc w:val="center"/>
              <w:rPr>
                <w:rFonts w:ascii="宋体" w:hAnsi="宋体" w:eastAsia="宋体" w:cs="宋体"/>
                <w:szCs w:val="21"/>
              </w:rPr>
            </w:pPr>
            <w:r>
              <w:rPr>
                <w:rFonts w:hint="eastAsia" w:ascii="宋体" w:hAnsi="宋体" w:eastAsia="宋体" w:cs="宋体"/>
                <w:szCs w:val="21"/>
              </w:rPr>
              <w:t>不适用</w:t>
            </w:r>
          </w:p>
        </w:tc>
        <w:tc>
          <w:tcPr>
            <w:tcW w:w="0" w:type="auto"/>
            <w:vAlign w:val="center"/>
          </w:tcPr>
          <w:p w14:paraId="349DBB8E">
            <w:pPr>
              <w:spacing w:line="360" w:lineRule="auto"/>
              <w:jc w:val="center"/>
              <w:rPr>
                <w:rFonts w:ascii="宋体" w:hAnsi="宋体" w:eastAsia="宋体" w:cs="宋体"/>
                <w:szCs w:val="21"/>
              </w:rPr>
            </w:pPr>
            <w:r>
              <w:rPr>
                <w:rFonts w:hint="eastAsia" w:ascii="宋体" w:hAnsi="宋体" w:eastAsia="宋体" w:cs="宋体"/>
                <w:szCs w:val="21"/>
              </w:rPr>
              <w:t>456.54万</w:t>
            </w:r>
          </w:p>
        </w:tc>
        <w:tc>
          <w:tcPr>
            <w:tcW w:w="0" w:type="auto"/>
            <w:vAlign w:val="center"/>
          </w:tcPr>
          <w:p w14:paraId="49233B6F">
            <w:pPr>
              <w:spacing w:line="360" w:lineRule="auto"/>
              <w:jc w:val="center"/>
              <w:rPr>
                <w:rFonts w:ascii="宋体" w:hAnsi="宋体" w:eastAsia="宋体" w:cs="宋体"/>
                <w:szCs w:val="21"/>
              </w:rPr>
            </w:pPr>
            <w:r>
              <w:rPr>
                <w:rFonts w:hint="eastAsia" w:ascii="宋体" w:hAnsi="宋体" w:eastAsia="宋体" w:cs="宋体"/>
                <w:szCs w:val="21"/>
              </w:rPr>
              <w:t>法定</w:t>
            </w:r>
          </w:p>
        </w:tc>
      </w:tr>
      <w:tr w14:paraId="42F5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CDDE400">
            <w:pPr>
              <w:spacing w:line="360" w:lineRule="auto"/>
              <w:jc w:val="center"/>
              <w:rPr>
                <w:rFonts w:ascii="宋体" w:hAnsi="宋体" w:eastAsia="宋体" w:cs="宋体"/>
                <w:szCs w:val="21"/>
              </w:rPr>
            </w:pPr>
            <w:r>
              <w:rPr>
                <w:rFonts w:hint="eastAsia" w:ascii="宋体" w:hAnsi="宋体" w:eastAsia="宋体" w:cs="宋体"/>
                <w:szCs w:val="21"/>
              </w:rPr>
              <w:t>深圳花儿绽放网络科技股份有限公司、浙江盘兴数智科技股份有限公司等侵害技术秘密纠纷</w:t>
            </w:r>
            <w:r>
              <w:rPr>
                <w:rStyle w:val="10"/>
                <w:rFonts w:hint="eastAsia" w:ascii="宋体" w:hAnsi="宋体" w:eastAsia="宋体" w:cs="宋体"/>
                <w:szCs w:val="21"/>
              </w:rPr>
              <w:footnoteReference w:id="7"/>
            </w:r>
          </w:p>
        </w:tc>
        <w:tc>
          <w:tcPr>
            <w:tcW w:w="0" w:type="auto"/>
            <w:vAlign w:val="center"/>
          </w:tcPr>
          <w:p w14:paraId="782C0CC9">
            <w:pPr>
              <w:spacing w:line="360" w:lineRule="auto"/>
              <w:jc w:val="center"/>
              <w:rPr>
                <w:rFonts w:ascii="宋体" w:hAnsi="宋体" w:eastAsia="宋体" w:cs="宋体"/>
                <w:szCs w:val="21"/>
              </w:rPr>
            </w:pPr>
            <w:r>
              <w:rPr>
                <w:rFonts w:hint="eastAsia" w:ascii="宋体" w:hAnsi="宋体" w:eastAsia="宋体" w:cs="宋体"/>
                <w:szCs w:val="21"/>
              </w:rPr>
              <w:t>5095万</w:t>
            </w:r>
          </w:p>
        </w:tc>
        <w:tc>
          <w:tcPr>
            <w:tcW w:w="0" w:type="auto"/>
            <w:vAlign w:val="center"/>
          </w:tcPr>
          <w:p w14:paraId="38A2EFD0">
            <w:pPr>
              <w:spacing w:line="360" w:lineRule="auto"/>
              <w:jc w:val="center"/>
              <w:rPr>
                <w:rFonts w:ascii="宋体" w:hAnsi="宋体" w:eastAsia="宋体" w:cs="宋体"/>
                <w:szCs w:val="21"/>
              </w:rPr>
            </w:pPr>
            <w:r>
              <w:rPr>
                <w:rFonts w:hint="eastAsia" w:ascii="宋体" w:hAnsi="宋体" w:eastAsia="宋体" w:cs="宋体"/>
                <w:szCs w:val="21"/>
              </w:rPr>
              <w:t>不适用</w:t>
            </w:r>
          </w:p>
        </w:tc>
        <w:tc>
          <w:tcPr>
            <w:tcW w:w="0" w:type="auto"/>
            <w:vAlign w:val="center"/>
          </w:tcPr>
          <w:p w14:paraId="2D350790">
            <w:pPr>
              <w:spacing w:line="360" w:lineRule="auto"/>
              <w:jc w:val="center"/>
              <w:rPr>
                <w:rFonts w:ascii="宋体" w:hAnsi="宋体" w:eastAsia="宋体" w:cs="宋体"/>
                <w:szCs w:val="21"/>
              </w:rPr>
            </w:pPr>
            <w:r>
              <w:rPr>
                <w:rFonts w:hint="eastAsia" w:ascii="宋体" w:hAnsi="宋体" w:eastAsia="宋体" w:cs="宋体"/>
                <w:szCs w:val="21"/>
              </w:rPr>
              <w:t>500万</w:t>
            </w:r>
          </w:p>
        </w:tc>
        <w:tc>
          <w:tcPr>
            <w:tcW w:w="0" w:type="auto"/>
            <w:vAlign w:val="center"/>
          </w:tcPr>
          <w:p w14:paraId="4DD1CCA0">
            <w:pPr>
              <w:spacing w:line="360" w:lineRule="auto"/>
              <w:jc w:val="center"/>
              <w:rPr>
                <w:rFonts w:ascii="宋体" w:hAnsi="宋体" w:eastAsia="宋体" w:cs="宋体"/>
                <w:szCs w:val="21"/>
              </w:rPr>
            </w:pPr>
            <w:r>
              <w:rPr>
                <w:rFonts w:hint="eastAsia" w:ascii="宋体" w:hAnsi="宋体" w:eastAsia="宋体" w:cs="宋体"/>
                <w:szCs w:val="21"/>
              </w:rPr>
              <w:t>法定</w:t>
            </w:r>
          </w:p>
        </w:tc>
      </w:tr>
      <w:tr w14:paraId="1268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2D71E5E">
            <w:pPr>
              <w:spacing w:line="360" w:lineRule="auto"/>
              <w:jc w:val="center"/>
              <w:rPr>
                <w:rFonts w:ascii="宋体" w:hAnsi="宋体" w:eastAsia="宋体" w:cs="宋体"/>
                <w:szCs w:val="21"/>
              </w:rPr>
            </w:pPr>
            <w:r>
              <w:rPr>
                <w:rFonts w:hint="eastAsia" w:ascii="宋体" w:hAnsi="宋体" w:eastAsia="宋体" w:cs="宋体"/>
                <w:szCs w:val="21"/>
              </w:rPr>
              <w:t>深圳市泽达自动化设备有限公司、深圳市瑞驰自动化设备有限公司等侵害商业秘密纠纷</w:t>
            </w:r>
            <w:r>
              <w:rPr>
                <w:rStyle w:val="10"/>
                <w:rFonts w:hint="eastAsia" w:ascii="宋体" w:hAnsi="宋体" w:eastAsia="宋体" w:cs="宋体"/>
                <w:szCs w:val="21"/>
              </w:rPr>
              <w:footnoteReference w:id="8"/>
            </w:r>
          </w:p>
        </w:tc>
        <w:tc>
          <w:tcPr>
            <w:tcW w:w="0" w:type="auto"/>
            <w:vAlign w:val="center"/>
          </w:tcPr>
          <w:p w14:paraId="5CE114E8">
            <w:pPr>
              <w:spacing w:line="360" w:lineRule="auto"/>
              <w:jc w:val="center"/>
              <w:rPr>
                <w:rFonts w:ascii="宋体" w:hAnsi="宋体" w:eastAsia="宋体" w:cs="宋体"/>
                <w:szCs w:val="21"/>
              </w:rPr>
            </w:pPr>
            <w:r>
              <w:rPr>
                <w:rFonts w:hint="eastAsia" w:ascii="宋体" w:hAnsi="宋体" w:eastAsia="宋体" w:cs="宋体"/>
                <w:szCs w:val="21"/>
              </w:rPr>
              <w:t>80万</w:t>
            </w:r>
          </w:p>
        </w:tc>
        <w:tc>
          <w:tcPr>
            <w:tcW w:w="0" w:type="auto"/>
            <w:gridSpan w:val="3"/>
            <w:vAlign w:val="center"/>
          </w:tcPr>
          <w:p w14:paraId="381F5F47">
            <w:pPr>
              <w:spacing w:line="360" w:lineRule="auto"/>
              <w:jc w:val="center"/>
              <w:rPr>
                <w:rFonts w:ascii="宋体" w:hAnsi="宋体" w:eastAsia="宋体" w:cs="宋体"/>
                <w:szCs w:val="21"/>
              </w:rPr>
            </w:pPr>
            <w:r>
              <w:rPr>
                <w:rFonts w:hint="eastAsia" w:ascii="宋体" w:hAnsi="宋体" w:eastAsia="宋体" w:cs="宋体"/>
                <w:szCs w:val="21"/>
              </w:rPr>
              <w:t>不适用（涉案信息非商业秘密，驳回诉讼请求）</w:t>
            </w:r>
          </w:p>
        </w:tc>
      </w:tr>
      <w:tr w14:paraId="56EF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4F6C0C0">
            <w:pPr>
              <w:spacing w:line="360" w:lineRule="auto"/>
              <w:jc w:val="center"/>
              <w:rPr>
                <w:rFonts w:ascii="宋体" w:hAnsi="宋体" w:eastAsia="宋体" w:cs="宋体"/>
                <w:szCs w:val="21"/>
              </w:rPr>
            </w:pPr>
            <w:r>
              <w:rPr>
                <w:rFonts w:hint="eastAsia" w:ascii="宋体" w:hAnsi="宋体" w:eastAsia="宋体" w:cs="宋体"/>
                <w:szCs w:val="21"/>
              </w:rPr>
              <w:t>沈春等与江苏万千化学科技有限公司等侵害经营秘密纠纷</w:t>
            </w:r>
            <w:r>
              <w:rPr>
                <w:rStyle w:val="10"/>
                <w:rFonts w:hint="eastAsia" w:ascii="宋体" w:hAnsi="宋体" w:eastAsia="宋体" w:cs="宋体"/>
                <w:szCs w:val="21"/>
              </w:rPr>
              <w:footnoteReference w:id="9"/>
            </w:r>
          </w:p>
        </w:tc>
        <w:tc>
          <w:tcPr>
            <w:tcW w:w="0" w:type="auto"/>
            <w:vAlign w:val="center"/>
          </w:tcPr>
          <w:p w14:paraId="11501709">
            <w:pPr>
              <w:spacing w:line="360" w:lineRule="auto"/>
              <w:jc w:val="center"/>
              <w:rPr>
                <w:rFonts w:ascii="宋体" w:hAnsi="宋体" w:eastAsia="宋体" w:cs="宋体"/>
                <w:szCs w:val="21"/>
              </w:rPr>
            </w:pPr>
            <w:r>
              <w:rPr>
                <w:rFonts w:hint="eastAsia" w:ascii="宋体" w:hAnsi="宋体" w:eastAsia="宋体" w:cs="宋体"/>
                <w:szCs w:val="21"/>
              </w:rPr>
              <w:t>144.8万</w:t>
            </w:r>
          </w:p>
        </w:tc>
        <w:tc>
          <w:tcPr>
            <w:tcW w:w="0" w:type="auto"/>
            <w:vAlign w:val="center"/>
          </w:tcPr>
          <w:p w14:paraId="4B383F2A">
            <w:pPr>
              <w:spacing w:line="360" w:lineRule="auto"/>
              <w:jc w:val="center"/>
              <w:rPr>
                <w:rFonts w:ascii="宋体" w:hAnsi="宋体" w:eastAsia="宋体" w:cs="宋体"/>
                <w:szCs w:val="21"/>
              </w:rPr>
            </w:pPr>
            <w:r>
              <w:rPr>
                <w:rFonts w:hint="eastAsia" w:ascii="宋体" w:hAnsi="宋体" w:eastAsia="宋体" w:cs="宋体"/>
                <w:szCs w:val="21"/>
              </w:rPr>
              <w:t>不适用</w:t>
            </w:r>
          </w:p>
        </w:tc>
        <w:tc>
          <w:tcPr>
            <w:tcW w:w="0" w:type="auto"/>
            <w:vAlign w:val="center"/>
          </w:tcPr>
          <w:p w14:paraId="5DD492E6">
            <w:pPr>
              <w:spacing w:line="360" w:lineRule="auto"/>
              <w:jc w:val="center"/>
              <w:rPr>
                <w:rFonts w:ascii="宋体" w:hAnsi="宋体" w:eastAsia="宋体" w:cs="宋体"/>
                <w:szCs w:val="21"/>
              </w:rPr>
            </w:pPr>
            <w:r>
              <w:rPr>
                <w:rFonts w:hint="eastAsia" w:ascii="宋体" w:hAnsi="宋体" w:eastAsia="宋体" w:cs="宋体"/>
                <w:szCs w:val="21"/>
              </w:rPr>
              <w:t>62.3万</w:t>
            </w:r>
          </w:p>
        </w:tc>
        <w:tc>
          <w:tcPr>
            <w:tcW w:w="0" w:type="auto"/>
            <w:vAlign w:val="center"/>
          </w:tcPr>
          <w:p w14:paraId="78122D3E">
            <w:pPr>
              <w:spacing w:line="360" w:lineRule="auto"/>
              <w:jc w:val="center"/>
              <w:rPr>
                <w:rFonts w:ascii="宋体" w:hAnsi="宋体" w:eastAsia="宋体" w:cs="宋体"/>
                <w:szCs w:val="21"/>
              </w:rPr>
            </w:pPr>
            <w:r>
              <w:rPr>
                <w:rFonts w:hint="eastAsia" w:ascii="宋体" w:hAnsi="宋体" w:eastAsia="宋体" w:cs="宋体"/>
                <w:szCs w:val="21"/>
              </w:rPr>
              <w:t>法定</w:t>
            </w:r>
          </w:p>
        </w:tc>
      </w:tr>
      <w:tr w14:paraId="13F7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83B682D">
            <w:pPr>
              <w:spacing w:line="360" w:lineRule="auto"/>
              <w:jc w:val="center"/>
              <w:rPr>
                <w:rFonts w:ascii="宋体" w:hAnsi="宋体" w:eastAsia="宋体" w:cs="宋体"/>
                <w:szCs w:val="21"/>
              </w:rPr>
            </w:pPr>
            <w:r>
              <w:rPr>
                <w:rFonts w:hint="eastAsia" w:ascii="宋体" w:hAnsi="宋体" w:eastAsia="宋体" w:cs="宋体"/>
                <w:szCs w:val="21"/>
              </w:rPr>
              <w:t>音王电声股份有限公司、惠州市辉特电子科技有限公司等侵害商业秘密纠纷</w:t>
            </w:r>
            <w:r>
              <w:rPr>
                <w:rStyle w:val="10"/>
                <w:rFonts w:hint="eastAsia" w:ascii="宋体" w:hAnsi="宋体" w:eastAsia="宋体" w:cs="宋体"/>
                <w:szCs w:val="21"/>
              </w:rPr>
              <w:footnoteReference w:id="10"/>
            </w:r>
          </w:p>
        </w:tc>
        <w:tc>
          <w:tcPr>
            <w:tcW w:w="0" w:type="auto"/>
            <w:vAlign w:val="center"/>
          </w:tcPr>
          <w:p w14:paraId="4287C81F">
            <w:pPr>
              <w:spacing w:line="360" w:lineRule="auto"/>
              <w:jc w:val="center"/>
              <w:rPr>
                <w:rFonts w:ascii="宋体" w:hAnsi="宋体" w:eastAsia="宋体" w:cs="宋体"/>
                <w:szCs w:val="21"/>
              </w:rPr>
            </w:pPr>
            <w:r>
              <w:rPr>
                <w:rFonts w:hint="eastAsia" w:ascii="宋体" w:hAnsi="宋体" w:eastAsia="宋体" w:cs="宋体"/>
                <w:szCs w:val="21"/>
              </w:rPr>
              <w:t>1200.65万</w:t>
            </w:r>
          </w:p>
        </w:tc>
        <w:tc>
          <w:tcPr>
            <w:tcW w:w="0" w:type="auto"/>
            <w:vAlign w:val="center"/>
          </w:tcPr>
          <w:p w14:paraId="149FC670">
            <w:pPr>
              <w:spacing w:line="360" w:lineRule="auto"/>
              <w:jc w:val="center"/>
              <w:rPr>
                <w:rFonts w:ascii="宋体" w:hAnsi="宋体" w:eastAsia="宋体" w:cs="宋体"/>
                <w:szCs w:val="21"/>
              </w:rPr>
            </w:pPr>
            <w:r>
              <w:rPr>
                <w:rFonts w:hint="eastAsia" w:ascii="宋体" w:hAnsi="宋体" w:eastAsia="宋体" w:cs="宋体"/>
                <w:szCs w:val="21"/>
              </w:rPr>
              <w:t>适用</w:t>
            </w:r>
          </w:p>
        </w:tc>
        <w:tc>
          <w:tcPr>
            <w:tcW w:w="0" w:type="auto"/>
            <w:vAlign w:val="center"/>
          </w:tcPr>
          <w:p w14:paraId="77CF6400">
            <w:pPr>
              <w:spacing w:line="360" w:lineRule="auto"/>
              <w:jc w:val="center"/>
              <w:rPr>
                <w:rFonts w:ascii="宋体" w:hAnsi="宋体" w:eastAsia="宋体" w:cs="宋体"/>
                <w:szCs w:val="21"/>
              </w:rPr>
            </w:pPr>
            <w:r>
              <w:rPr>
                <w:rFonts w:hint="eastAsia" w:ascii="宋体" w:hAnsi="宋体" w:eastAsia="宋体" w:cs="宋体"/>
                <w:szCs w:val="21"/>
              </w:rPr>
              <w:t>387.72万</w:t>
            </w:r>
          </w:p>
        </w:tc>
        <w:tc>
          <w:tcPr>
            <w:tcW w:w="0" w:type="auto"/>
            <w:vAlign w:val="center"/>
          </w:tcPr>
          <w:p w14:paraId="6A0D16DC">
            <w:pPr>
              <w:spacing w:line="360" w:lineRule="auto"/>
              <w:jc w:val="center"/>
              <w:rPr>
                <w:rFonts w:ascii="宋体" w:hAnsi="宋体" w:eastAsia="宋体" w:cs="宋体"/>
                <w:szCs w:val="21"/>
              </w:rPr>
            </w:pPr>
            <w:r>
              <w:rPr>
                <w:rFonts w:hint="eastAsia" w:ascii="宋体" w:hAnsi="宋体" w:eastAsia="宋体" w:cs="宋体"/>
                <w:szCs w:val="21"/>
              </w:rPr>
              <w:t>实际损失倍数</w:t>
            </w:r>
          </w:p>
        </w:tc>
      </w:tr>
      <w:tr w14:paraId="483F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46F2B84">
            <w:pPr>
              <w:spacing w:line="360" w:lineRule="auto"/>
              <w:jc w:val="center"/>
              <w:rPr>
                <w:rFonts w:ascii="宋体" w:hAnsi="宋体" w:eastAsia="宋体" w:cs="宋体"/>
                <w:szCs w:val="21"/>
              </w:rPr>
            </w:pPr>
            <w:r>
              <w:rPr>
                <w:rFonts w:hint="eastAsia" w:ascii="宋体" w:hAnsi="宋体" w:eastAsia="宋体" w:cs="宋体"/>
                <w:szCs w:val="21"/>
              </w:rPr>
              <w:t>洛阳瑞昌环境工程有限公司、洛阳明远石化技术有限公司等侵害商业秘密纠纷</w:t>
            </w:r>
            <w:r>
              <w:rPr>
                <w:rStyle w:val="10"/>
                <w:rFonts w:hint="eastAsia" w:ascii="宋体" w:hAnsi="宋体" w:eastAsia="宋体" w:cs="宋体"/>
                <w:szCs w:val="21"/>
              </w:rPr>
              <w:footnoteReference w:id="11"/>
            </w:r>
          </w:p>
        </w:tc>
        <w:tc>
          <w:tcPr>
            <w:tcW w:w="0" w:type="auto"/>
            <w:vAlign w:val="center"/>
          </w:tcPr>
          <w:p w14:paraId="51F899D8">
            <w:pPr>
              <w:spacing w:line="360" w:lineRule="auto"/>
              <w:jc w:val="center"/>
              <w:rPr>
                <w:rFonts w:ascii="宋体" w:hAnsi="宋体" w:eastAsia="宋体" w:cs="宋体"/>
                <w:szCs w:val="21"/>
              </w:rPr>
            </w:pPr>
            <w:r>
              <w:rPr>
                <w:rFonts w:hint="eastAsia" w:ascii="宋体" w:hAnsi="宋体" w:eastAsia="宋体" w:cs="宋体"/>
                <w:szCs w:val="21"/>
              </w:rPr>
              <w:t>800万</w:t>
            </w:r>
          </w:p>
        </w:tc>
        <w:tc>
          <w:tcPr>
            <w:tcW w:w="0" w:type="auto"/>
            <w:vAlign w:val="center"/>
          </w:tcPr>
          <w:p w14:paraId="3BC948F2">
            <w:pPr>
              <w:spacing w:line="360" w:lineRule="auto"/>
              <w:jc w:val="center"/>
              <w:rPr>
                <w:rFonts w:ascii="宋体" w:hAnsi="宋体" w:eastAsia="宋体" w:cs="宋体"/>
                <w:szCs w:val="21"/>
              </w:rPr>
            </w:pPr>
            <w:r>
              <w:rPr>
                <w:rFonts w:hint="eastAsia" w:ascii="宋体" w:hAnsi="宋体" w:eastAsia="宋体" w:cs="宋体"/>
                <w:szCs w:val="21"/>
              </w:rPr>
              <w:t>不适用</w:t>
            </w:r>
          </w:p>
        </w:tc>
        <w:tc>
          <w:tcPr>
            <w:tcW w:w="0" w:type="auto"/>
            <w:vAlign w:val="center"/>
          </w:tcPr>
          <w:p w14:paraId="0780F24F">
            <w:pPr>
              <w:spacing w:line="360" w:lineRule="auto"/>
              <w:jc w:val="center"/>
              <w:rPr>
                <w:rFonts w:ascii="宋体" w:hAnsi="宋体" w:eastAsia="宋体" w:cs="宋体"/>
                <w:szCs w:val="21"/>
              </w:rPr>
            </w:pPr>
            <w:r>
              <w:rPr>
                <w:rFonts w:hint="eastAsia" w:ascii="宋体" w:hAnsi="宋体" w:eastAsia="宋体" w:cs="宋体"/>
                <w:szCs w:val="21"/>
              </w:rPr>
              <w:t>310万</w:t>
            </w:r>
          </w:p>
        </w:tc>
        <w:tc>
          <w:tcPr>
            <w:tcW w:w="0" w:type="auto"/>
            <w:vAlign w:val="center"/>
          </w:tcPr>
          <w:p w14:paraId="46FED200">
            <w:pPr>
              <w:spacing w:line="360" w:lineRule="auto"/>
              <w:jc w:val="center"/>
              <w:rPr>
                <w:rFonts w:ascii="宋体" w:hAnsi="宋体" w:eastAsia="宋体" w:cs="宋体"/>
                <w:szCs w:val="21"/>
              </w:rPr>
            </w:pPr>
            <w:r>
              <w:rPr>
                <w:rFonts w:hint="eastAsia" w:ascii="宋体" w:hAnsi="宋体" w:eastAsia="宋体" w:cs="宋体"/>
                <w:szCs w:val="21"/>
              </w:rPr>
              <w:t>法定</w:t>
            </w:r>
          </w:p>
        </w:tc>
      </w:tr>
      <w:tr w14:paraId="750D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AD7BEE1">
            <w:pPr>
              <w:spacing w:line="360" w:lineRule="auto"/>
              <w:jc w:val="center"/>
              <w:rPr>
                <w:rFonts w:ascii="宋体" w:hAnsi="宋体" w:eastAsia="宋体" w:cs="宋体"/>
                <w:szCs w:val="21"/>
              </w:rPr>
            </w:pPr>
            <w:r>
              <w:rPr>
                <w:rFonts w:hint="eastAsia" w:ascii="宋体" w:hAnsi="宋体" w:eastAsia="宋体" w:cs="宋体"/>
                <w:szCs w:val="21"/>
              </w:rPr>
              <w:t>上海东富龙科技股份有限公司、上海天祥·健台制药机械有限公司等与广州白云山明兴制药有限公司侵害商业秘密纠纷</w:t>
            </w:r>
            <w:r>
              <w:rPr>
                <w:rStyle w:val="10"/>
                <w:rFonts w:hint="eastAsia" w:ascii="宋体" w:hAnsi="宋体" w:eastAsia="宋体" w:cs="宋体"/>
                <w:szCs w:val="21"/>
              </w:rPr>
              <w:footnoteReference w:id="12"/>
            </w:r>
          </w:p>
        </w:tc>
        <w:tc>
          <w:tcPr>
            <w:tcW w:w="0" w:type="auto"/>
            <w:vAlign w:val="center"/>
          </w:tcPr>
          <w:p w14:paraId="0C09BEA3">
            <w:pPr>
              <w:spacing w:line="360" w:lineRule="auto"/>
              <w:jc w:val="center"/>
              <w:rPr>
                <w:rFonts w:ascii="宋体" w:hAnsi="宋体" w:eastAsia="宋体" w:cs="宋体"/>
                <w:szCs w:val="21"/>
              </w:rPr>
            </w:pPr>
            <w:r>
              <w:rPr>
                <w:rFonts w:hint="eastAsia" w:ascii="宋体" w:hAnsi="宋体" w:eastAsia="宋体" w:cs="宋体"/>
                <w:szCs w:val="21"/>
              </w:rPr>
              <w:t>1250万</w:t>
            </w:r>
          </w:p>
        </w:tc>
        <w:tc>
          <w:tcPr>
            <w:tcW w:w="0" w:type="auto"/>
            <w:vAlign w:val="center"/>
          </w:tcPr>
          <w:p w14:paraId="4F43C576">
            <w:pPr>
              <w:spacing w:line="360" w:lineRule="auto"/>
              <w:jc w:val="center"/>
              <w:rPr>
                <w:rFonts w:ascii="宋体" w:hAnsi="宋体" w:eastAsia="宋体" w:cs="宋体"/>
                <w:szCs w:val="21"/>
              </w:rPr>
            </w:pPr>
            <w:r>
              <w:rPr>
                <w:rFonts w:hint="eastAsia" w:ascii="宋体" w:hAnsi="宋体" w:eastAsia="宋体" w:cs="宋体"/>
                <w:szCs w:val="21"/>
              </w:rPr>
              <w:t>不适用</w:t>
            </w:r>
          </w:p>
        </w:tc>
        <w:tc>
          <w:tcPr>
            <w:tcW w:w="0" w:type="auto"/>
            <w:vAlign w:val="center"/>
          </w:tcPr>
          <w:p w14:paraId="4DA19EBA">
            <w:pPr>
              <w:spacing w:line="360" w:lineRule="auto"/>
              <w:jc w:val="center"/>
              <w:rPr>
                <w:rFonts w:ascii="宋体" w:hAnsi="宋体" w:eastAsia="宋体" w:cs="宋体"/>
                <w:szCs w:val="21"/>
              </w:rPr>
            </w:pPr>
            <w:r>
              <w:rPr>
                <w:rFonts w:hint="eastAsia" w:ascii="宋体" w:hAnsi="宋体" w:eastAsia="宋体" w:cs="宋体"/>
                <w:szCs w:val="21"/>
              </w:rPr>
              <w:t>20万</w:t>
            </w:r>
          </w:p>
        </w:tc>
        <w:tc>
          <w:tcPr>
            <w:tcW w:w="0" w:type="auto"/>
            <w:vAlign w:val="center"/>
          </w:tcPr>
          <w:p w14:paraId="227F003A">
            <w:pPr>
              <w:spacing w:line="360" w:lineRule="auto"/>
              <w:jc w:val="center"/>
              <w:rPr>
                <w:rFonts w:ascii="宋体" w:hAnsi="宋体" w:eastAsia="宋体" w:cs="宋体"/>
                <w:szCs w:val="21"/>
              </w:rPr>
            </w:pPr>
            <w:r>
              <w:rPr>
                <w:rFonts w:hint="eastAsia" w:ascii="宋体" w:hAnsi="宋体" w:eastAsia="宋体" w:cs="宋体"/>
                <w:szCs w:val="21"/>
              </w:rPr>
              <w:t>法定</w:t>
            </w:r>
          </w:p>
        </w:tc>
      </w:tr>
    </w:tbl>
    <w:p w14:paraId="464145D2">
      <w:pPr>
        <w:spacing w:line="360" w:lineRule="auto"/>
        <w:ind w:firstLine="480" w:firstLineChars="200"/>
        <w:rPr>
          <w:rFonts w:ascii="宋体" w:hAnsi="宋体" w:eastAsia="宋体" w:cs="宋体"/>
          <w:sz w:val="24"/>
        </w:rPr>
      </w:pPr>
      <w:r>
        <w:rPr>
          <w:rFonts w:hint="eastAsia" w:ascii="宋体" w:hAnsi="宋体" w:eastAsia="宋体" w:cs="宋体"/>
          <w:sz w:val="24"/>
        </w:rPr>
        <w:t xml:space="preserve">通过对这12份裁判文书进行统计分析发现，司法实践中商业秘密侵权惩罚性赔偿制度运行现状如下： </w:t>
      </w:r>
    </w:p>
    <w:p w14:paraId="441827CA">
      <w:pPr>
        <w:numPr>
          <w:ilvl w:val="0"/>
          <w:numId w:val="1"/>
        </w:numPr>
        <w:spacing w:line="360" w:lineRule="auto"/>
        <w:ind w:firstLine="482" w:firstLineChars="200"/>
        <w:rPr>
          <w:rFonts w:ascii="宋体" w:hAnsi="宋体" w:eastAsia="宋体" w:cs="宋体"/>
          <w:sz w:val="24"/>
        </w:rPr>
      </w:pPr>
      <w:r>
        <w:rPr>
          <w:rFonts w:hint="eastAsia" w:ascii="宋体" w:hAnsi="宋体" w:eastAsia="宋体" w:cs="宋体"/>
          <w:b/>
          <w:bCs/>
          <w:sz w:val="24"/>
        </w:rPr>
        <w:t>商业秘密侵权惩罚性赔偿适用率低</w:t>
      </w:r>
    </w:p>
    <w:p w14:paraId="78DE0723">
      <w:pPr>
        <w:spacing w:line="360" w:lineRule="auto"/>
        <w:ind w:firstLine="480" w:firstLineChars="200"/>
        <w:rPr>
          <w:rFonts w:ascii="宋体" w:hAnsi="宋体" w:eastAsia="宋体" w:cs="宋体"/>
          <w:sz w:val="24"/>
        </w:rPr>
      </w:pPr>
      <w:r>
        <w:rPr>
          <w:rFonts w:hint="eastAsia" w:ascii="宋体" w:hAnsi="宋体" w:eastAsia="宋体" w:cs="宋体"/>
          <w:sz w:val="24"/>
        </w:rPr>
        <w:t>除去“当事人诉请为惩罚性赔偿”的限制条件外，在Alpha案件数据库中以同样的条件进行检索，能够检索到同期的商业秘密侵权案件共393起。然而，加上“当事人诉请为惩罚性赔偿”的限制条件后，截止到2</w:t>
      </w:r>
      <w:r>
        <w:rPr>
          <w:rFonts w:ascii="宋体" w:hAnsi="宋体" w:eastAsia="宋体" w:cs="宋体"/>
          <w:sz w:val="24"/>
        </w:rPr>
        <w:t>024</w:t>
      </w:r>
      <w:r>
        <w:rPr>
          <w:rFonts w:hint="eastAsia" w:ascii="宋体" w:hAnsi="宋体" w:eastAsia="宋体" w:cs="宋体"/>
          <w:sz w:val="24"/>
        </w:rPr>
        <w:t>年</w:t>
      </w:r>
      <w:r>
        <w:rPr>
          <w:rFonts w:ascii="宋体" w:hAnsi="宋体" w:eastAsia="宋体" w:cs="宋体"/>
          <w:sz w:val="24"/>
        </w:rPr>
        <w:t>6</w:t>
      </w:r>
      <w:r>
        <w:rPr>
          <w:rFonts w:hint="eastAsia" w:ascii="宋体" w:hAnsi="宋体" w:eastAsia="宋体" w:cs="宋体"/>
          <w:sz w:val="24"/>
        </w:rPr>
        <w:t>月3</w:t>
      </w:r>
      <w:r>
        <w:rPr>
          <w:rFonts w:ascii="宋体" w:hAnsi="宋体" w:eastAsia="宋体" w:cs="宋体"/>
          <w:sz w:val="24"/>
        </w:rPr>
        <w:t>0</w:t>
      </w:r>
      <w:r>
        <w:rPr>
          <w:rFonts w:hint="eastAsia" w:ascii="宋体" w:hAnsi="宋体" w:eastAsia="宋体" w:cs="宋体"/>
          <w:sz w:val="24"/>
        </w:rPr>
        <w:t>日，仅能检索到商业秘密侵权案件共12起（见表2-1）。换言之，原告提出惩罚性赔偿诉讼请求的案件占同期商业秘密侵权案件的比例仅约3％，相对其他诉讼请求如停止侵害、损害赔偿等较低。</w:t>
      </w:r>
    </w:p>
    <w:p w14:paraId="0934B8DE">
      <w:pPr>
        <w:spacing w:line="360" w:lineRule="auto"/>
        <w:ind w:firstLine="480" w:firstLineChars="200"/>
        <w:rPr>
          <w:rFonts w:ascii="宋体" w:hAnsi="宋体" w:eastAsia="宋体" w:cs="宋体"/>
          <w:sz w:val="24"/>
        </w:rPr>
      </w:pPr>
      <w:r>
        <w:rPr>
          <w:rFonts w:hint="eastAsia" w:ascii="宋体" w:hAnsi="宋体" w:eastAsia="宋体" w:cs="宋体"/>
          <w:sz w:val="24"/>
        </w:rPr>
        <w:t>同时，从</w:t>
      </w:r>
      <w:bookmarkStart w:id="0" w:name="_Hlk200100383"/>
      <w:r>
        <w:rPr>
          <w:rFonts w:hint="eastAsia" w:ascii="宋体" w:hAnsi="宋体" w:eastAsia="宋体" w:cs="宋体"/>
          <w:sz w:val="24"/>
        </w:rPr>
        <w:t>表2-1</w:t>
      </w:r>
      <w:bookmarkEnd w:id="0"/>
      <w:r>
        <w:rPr>
          <w:rFonts w:hint="eastAsia" w:ascii="宋体" w:hAnsi="宋体" w:eastAsia="宋体" w:cs="宋体"/>
          <w:sz w:val="24"/>
        </w:rPr>
        <w:t>中还可见，对这12起案件的判决大多</w:t>
      </w:r>
      <w:r>
        <w:rPr>
          <w:rFonts w:ascii="宋体" w:hAnsi="宋体" w:eastAsia="宋体" w:cs="宋体"/>
          <w:sz w:val="24"/>
        </w:rPr>
        <w:t>采用了法定赔偿的方式，仅有</w:t>
      </w:r>
      <w:r>
        <w:rPr>
          <w:rFonts w:hint="eastAsia" w:ascii="宋体" w:hAnsi="宋体" w:eastAsia="宋体" w:cs="宋体"/>
          <w:sz w:val="24"/>
        </w:rPr>
        <w:t>1起</w:t>
      </w:r>
      <w:r>
        <w:rPr>
          <w:rFonts w:ascii="宋体" w:hAnsi="宋体" w:eastAsia="宋体" w:cs="宋体"/>
          <w:sz w:val="24"/>
        </w:rPr>
        <w:t>明确</w:t>
      </w:r>
      <w:r>
        <w:rPr>
          <w:rFonts w:hint="eastAsia" w:ascii="宋体" w:hAnsi="宋体" w:eastAsia="宋体" w:cs="宋体"/>
          <w:sz w:val="24"/>
        </w:rPr>
        <w:t>提出</w:t>
      </w:r>
      <w:r>
        <w:rPr>
          <w:rFonts w:ascii="宋体" w:hAnsi="宋体" w:eastAsia="宋体" w:cs="宋体"/>
          <w:sz w:val="24"/>
        </w:rPr>
        <w:t>适用惩罚性赔偿</w:t>
      </w:r>
      <w:r>
        <w:rPr>
          <w:rFonts w:hint="eastAsia" w:ascii="宋体" w:hAnsi="宋体" w:eastAsia="宋体" w:cs="宋体"/>
          <w:sz w:val="24"/>
        </w:rPr>
        <w:t>，支持了原告的诉讼请求。</w:t>
      </w:r>
      <w:r>
        <w:rPr>
          <w:rFonts w:ascii="宋体" w:hAnsi="宋体" w:eastAsia="宋体" w:cs="宋体"/>
          <w:sz w:val="24"/>
        </w:rPr>
        <w:t>法院</w:t>
      </w:r>
      <w:r>
        <w:rPr>
          <w:rFonts w:hint="eastAsia" w:ascii="宋体" w:hAnsi="宋体" w:eastAsia="宋体" w:cs="宋体"/>
          <w:sz w:val="24"/>
        </w:rPr>
        <w:t>不认可原告</w:t>
      </w:r>
      <w:r>
        <w:rPr>
          <w:rFonts w:ascii="宋体" w:hAnsi="宋体" w:eastAsia="宋体" w:cs="宋体"/>
          <w:sz w:val="24"/>
        </w:rPr>
        <w:t>惩罚性赔偿</w:t>
      </w:r>
      <w:r>
        <w:rPr>
          <w:rFonts w:hint="eastAsia" w:ascii="宋体" w:hAnsi="宋体" w:eastAsia="宋体" w:cs="宋体"/>
          <w:sz w:val="24"/>
        </w:rPr>
        <w:t>诉请的</w:t>
      </w:r>
      <w:r>
        <w:rPr>
          <w:rFonts w:ascii="宋体" w:hAnsi="宋体" w:eastAsia="宋体" w:cs="宋体"/>
          <w:sz w:val="24"/>
        </w:rPr>
        <w:t>理由</w:t>
      </w:r>
      <w:r>
        <w:rPr>
          <w:rFonts w:hint="eastAsia" w:ascii="宋体" w:hAnsi="宋体" w:eastAsia="宋体" w:cs="宋体"/>
          <w:sz w:val="24"/>
        </w:rPr>
        <w:t>包括</w:t>
      </w:r>
      <w:r>
        <w:rPr>
          <w:rFonts w:ascii="宋体" w:hAnsi="宋体" w:eastAsia="宋体" w:cs="宋体"/>
          <w:sz w:val="24"/>
        </w:rPr>
        <w:t>：</w:t>
      </w:r>
      <w:r>
        <w:rPr>
          <w:rFonts w:hint="eastAsia" w:ascii="宋体" w:hAnsi="宋体" w:eastAsia="宋体" w:cs="宋体"/>
          <w:sz w:val="24"/>
        </w:rPr>
        <w:t>原告所受的实际损失及涉嫌侵权人因侵权而获得的利益难以准确查明</w:t>
      </w:r>
      <w:r>
        <w:rPr>
          <w:rFonts w:ascii="宋体" w:hAnsi="宋体" w:eastAsia="宋体" w:cs="宋体"/>
          <w:sz w:val="24"/>
        </w:rPr>
        <w:t>；</w:t>
      </w:r>
      <w:r>
        <w:rPr>
          <w:rFonts w:hint="eastAsia" w:ascii="宋体" w:hAnsi="宋体" w:eastAsia="宋体" w:cs="宋体"/>
          <w:sz w:val="24"/>
        </w:rPr>
        <w:t>原告提供的证据不足以充分说明涉嫌侵权人构成了恶意侵权且情节严重</w:t>
      </w:r>
      <w:r>
        <w:rPr>
          <w:rFonts w:ascii="宋体" w:hAnsi="宋体" w:eastAsia="宋体" w:cs="宋体"/>
          <w:sz w:val="24"/>
        </w:rPr>
        <w:t>；</w:t>
      </w:r>
      <w:r>
        <w:rPr>
          <w:rFonts w:hint="eastAsia" w:ascii="宋体" w:hAnsi="宋体" w:eastAsia="宋体" w:cs="宋体"/>
          <w:sz w:val="24"/>
        </w:rPr>
        <w:t>证据不足、法不溯及既往等原因，</w:t>
      </w:r>
      <w:r>
        <w:rPr>
          <w:rFonts w:ascii="宋体" w:hAnsi="宋体" w:eastAsia="宋体" w:cs="宋体"/>
          <w:sz w:val="24"/>
        </w:rPr>
        <w:t>法院</w:t>
      </w:r>
      <w:r>
        <w:rPr>
          <w:rFonts w:hint="eastAsia" w:ascii="宋体" w:hAnsi="宋体" w:eastAsia="宋体" w:cs="宋体"/>
          <w:sz w:val="24"/>
        </w:rPr>
        <w:t>偏向于拒绝适用惩罚性赔偿，侵权行为发生时商业秘密惩罚性赔偿的规定还未出台等。而法院的判决通常要综合考量被侵权商业秘密的商业价值、权利人受损程度、</w:t>
      </w:r>
      <w:r>
        <w:rPr>
          <w:rFonts w:ascii="宋体" w:hAnsi="宋体" w:eastAsia="宋体" w:cs="宋体"/>
          <w:sz w:val="24"/>
        </w:rPr>
        <w:t>侵权次数</w:t>
      </w:r>
      <w:r>
        <w:rPr>
          <w:rFonts w:hint="eastAsia" w:ascii="宋体" w:hAnsi="宋体" w:eastAsia="宋体" w:cs="宋体"/>
          <w:sz w:val="24"/>
        </w:rPr>
        <w:t>及严重</w:t>
      </w:r>
      <w:r>
        <w:rPr>
          <w:rFonts w:ascii="宋体" w:hAnsi="宋体" w:eastAsia="宋体" w:cs="宋体"/>
          <w:sz w:val="24"/>
        </w:rPr>
        <w:t>程度、</w:t>
      </w:r>
      <w:r>
        <w:rPr>
          <w:rFonts w:hint="eastAsia" w:ascii="宋体" w:hAnsi="宋体" w:eastAsia="宋体" w:cs="宋体"/>
          <w:sz w:val="24"/>
        </w:rPr>
        <w:t>行为后果</w:t>
      </w:r>
      <w:r>
        <w:rPr>
          <w:rFonts w:ascii="宋体" w:hAnsi="宋体" w:eastAsia="宋体" w:cs="宋体"/>
          <w:sz w:val="24"/>
        </w:rPr>
        <w:t>等</w:t>
      </w:r>
      <w:r>
        <w:rPr>
          <w:rFonts w:hint="eastAsia" w:ascii="宋体" w:hAnsi="宋体" w:eastAsia="宋体" w:cs="宋体"/>
          <w:sz w:val="24"/>
        </w:rPr>
        <w:t>因素，所以，法定赔偿的适用率远远高于惩罚性赔偿的适用率，这一研究结果也获得了国内相同主题研究结论的支持。例如，有学者对2</w:t>
      </w:r>
      <w:r>
        <w:rPr>
          <w:rFonts w:ascii="宋体" w:hAnsi="宋体" w:eastAsia="宋体" w:cs="宋体"/>
          <w:sz w:val="24"/>
        </w:rPr>
        <w:t>022</w:t>
      </w:r>
      <w:r>
        <w:rPr>
          <w:rFonts w:hint="eastAsia" w:ascii="宋体" w:hAnsi="宋体" w:eastAsia="宋体" w:cs="宋体"/>
          <w:sz w:val="24"/>
        </w:rPr>
        <w:t>年一年全国各中院侵犯商业秘密案件一审判决损害赔偿情况的分析得出，法定赔偿占6</w:t>
      </w:r>
      <w:r>
        <w:rPr>
          <w:rFonts w:ascii="宋体" w:hAnsi="宋体" w:eastAsia="宋体" w:cs="宋体"/>
          <w:sz w:val="24"/>
        </w:rPr>
        <w:t>6.7</w:t>
      </w:r>
      <w:r>
        <w:rPr>
          <w:rFonts w:hint="eastAsia" w:ascii="宋体" w:hAnsi="宋体" w:eastAsia="宋体" w:cs="宋体"/>
          <w:sz w:val="24"/>
        </w:rPr>
        <w:t>％，仅有２个明确提出适用惩罚性赔偿</w:t>
      </w:r>
      <w:r>
        <w:rPr>
          <w:rStyle w:val="10"/>
          <w:rFonts w:ascii="宋体" w:hAnsi="宋体" w:eastAsia="宋体" w:cs="宋体"/>
          <w:sz w:val="24"/>
        </w:rPr>
        <w:footnoteReference w:id="13"/>
      </w:r>
      <w:r>
        <w:rPr>
          <w:rFonts w:hint="eastAsia" w:ascii="宋体" w:hAnsi="宋体" w:eastAsia="宋体" w:cs="宋体"/>
          <w:sz w:val="24"/>
        </w:rPr>
        <w:t>。惩罚性赔偿适用严重低于法定赔偿，是当前商业秘密侵权案件的基本事实之一。</w:t>
      </w:r>
    </w:p>
    <w:p w14:paraId="38BBE5C2">
      <w:pPr>
        <w:numPr>
          <w:ilvl w:val="0"/>
          <w:numId w:val="1"/>
        </w:numPr>
        <w:spacing w:line="360" w:lineRule="auto"/>
        <w:ind w:firstLine="482" w:firstLineChars="200"/>
        <w:rPr>
          <w:rFonts w:ascii="宋体" w:hAnsi="宋体" w:eastAsia="宋体" w:cs="宋体"/>
          <w:b/>
          <w:bCs/>
          <w:sz w:val="24"/>
        </w:rPr>
      </w:pPr>
      <w:r>
        <w:rPr>
          <w:rFonts w:hint="eastAsia" w:ascii="宋体" w:hAnsi="宋体" w:eastAsia="宋体" w:cs="宋体"/>
          <w:b/>
          <w:bCs/>
          <w:sz w:val="24"/>
        </w:rPr>
        <w:t>商业秘密侵权惩罚性赔偿的判赔支持率较低</w:t>
      </w:r>
    </w:p>
    <w:p w14:paraId="321E0218">
      <w:pPr>
        <w:spacing w:line="360" w:lineRule="auto"/>
        <w:ind w:firstLine="480" w:firstLineChars="200"/>
        <w:rPr>
          <w:rFonts w:ascii="宋体" w:hAnsi="宋体" w:eastAsia="宋体" w:cs="宋体"/>
          <w:sz w:val="24"/>
        </w:rPr>
      </w:pPr>
      <w:r>
        <w:rPr>
          <w:rFonts w:hint="eastAsia" w:ascii="宋体" w:hAnsi="宋体" w:eastAsia="宋体" w:cs="宋体"/>
          <w:sz w:val="24"/>
        </w:rPr>
        <w:t>基于原告诉请的经济损失、维权的合理开支、赔偿的倍数等情况的综合考量，检索到的商业秘密侵权惩罚性赔偿案件中原告的诉请赔偿金额大多超过百万、半数过千万，以高赔偿额为主；而法院最终判决的赔偿金额最高不超过500万、半数不过百万。除去因涉案信息不属于商业秘密而被驳回诉讼请求的（2021）粤0309民初1256号案，对其余11起案件中原告的诉请赔偿占法院判决的赔偿金额的比例分别计算可知（见表2-2），商业秘密侵权惩罚性赔偿的判赔支持率通常不超过50%。</w:t>
      </w:r>
    </w:p>
    <w:p w14:paraId="00AE2A08">
      <w:pPr>
        <w:spacing w:line="360" w:lineRule="auto"/>
        <w:ind w:firstLine="480" w:firstLineChars="200"/>
        <w:rPr>
          <w:rFonts w:ascii="宋体" w:hAnsi="宋体" w:eastAsia="宋体" w:cs="宋体"/>
          <w:sz w:val="24"/>
        </w:rPr>
      </w:pPr>
      <w:r>
        <w:rPr>
          <w:rFonts w:hint="eastAsia" w:ascii="宋体" w:hAnsi="宋体" w:eastAsia="宋体" w:cs="宋体"/>
          <w:sz w:val="24"/>
        </w:rPr>
        <w:t>较低的判赔支持率直接导致惩罚性赔偿的判赔数额与原告的诉请差距过大。就我们所检索到的唯一获得法院支持原告惩罚性赔偿主张的音王电声股份有限公司、惠州市辉特电子科技有限公司等侵害商业秘密纠纷案中，</w:t>
      </w:r>
      <w:r>
        <w:rPr>
          <w:vertAlign w:val="superscript"/>
        </w:rPr>
        <w:footnoteReference w:id="14"/>
      </w:r>
      <w:r>
        <w:rPr>
          <w:rFonts w:hint="eastAsia" w:ascii="宋体" w:hAnsi="宋体" w:eastAsia="宋体" w:cs="宋体"/>
          <w:sz w:val="24"/>
        </w:rPr>
        <w:t>法院最终否决了原告所提出的</w:t>
      </w:r>
      <w:r>
        <w:rPr>
          <w:rFonts w:ascii="宋体" w:hAnsi="宋体" w:eastAsia="宋体" w:cs="宋体"/>
          <w:sz w:val="24"/>
        </w:rPr>
        <w:t>以刑事案件中确定的虚拟许可费损失作为依据主张民事案件中的实际损失</w:t>
      </w:r>
      <w:r>
        <w:rPr>
          <w:rFonts w:hint="eastAsia" w:ascii="宋体" w:hAnsi="宋体" w:eastAsia="宋体" w:cs="宋体"/>
          <w:sz w:val="24"/>
        </w:rPr>
        <w:t>的主张，而是以依据刑事判决书中确定的原告音王公司的损失91.43万元作为本案主张赔偿数额基数的四倍确定赔偿金额，即为91.43万元×4=365.72万元，这与原告以经济损失273.43万元作为基数诉请五倍的惩罚性赔偿的数额差距过大，不到所主张的十分之一。这反映了在商业秘密侵权惩罚倍数的适用上，法院保持歉抑态度。</w:t>
      </w:r>
      <w:r>
        <w:rPr>
          <w:rStyle w:val="10"/>
          <w:rFonts w:ascii="宋体" w:hAnsi="宋体" w:eastAsia="宋体"/>
          <w:color w:val="000000" w:themeColor="text1"/>
          <w:kern w:val="0"/>
        </w:rPr>
        <w:footnoteReference w:id="15"/>
      </w:r>
      <w:r>
        <w:rPr>
          <w:rFonts w:hint="eastAsia" w:ascii="宋体" w:hAnsi="宋体" w:eastAsia="宋体"/>
          <w:color w:val="000000" w:themeColor="text1"/>
          <w:kern w:val="0"/>
        </w:rPr>
        <w:t></w:t>
      </w:r>
      <w:r>
        <w:rPr>
          <w:rFonts w:hint="eastAsia" w:ascii="宋体" w:hAnsi="宋体" w:eastAsia="宋体"/>
          <w:color w:val="FF0000"/>
          <w:kern w:val="0"/>
        </w:rPr>
        <w:t></w:t>
      </w:r>
    </w:p>
    <w:p w14:paraId="42782547">
      <w:pPr>
        <w:spacing w:line="360" w:lineRule="auto"/>
        <w:ind w:firstLine="480" w:firstLineChars="200"/>
        <w:rPr>
          <w:rFonts w:ascii="宋体" w:hAnsi="宋体" w:eastAsia="宋体" w:cs="宋体"/>
          <w:sz w:val="24"/>
        </w:rPr>
      </w:pPr>
    </w:p>
    <w:p w14:paraId="7338CA78">
      <w:pPr>
        <w:spacing w:line="360" w:lineRule="auto"/>
        <w:ind w:firstLine="420" w:firstLineChars="200"/>
        <w:rPr>
          <w:rFonts w:ascii="宋体" w:hAnsi="宋体" w:eastAsia="宋体" w:cs="宋体"/>
          <w:b/>
          <w:bCs/>
          <w:sz w:val="24"/>
        </w:rPr>
      </w:pPr>
      <w:r>
        <w:drawing>
          <wp:inline distT="0" distB="0" distL="114300" distR="114300">
            <wp:extent cx="4984115" cy="2051050"/>
            <wp:effectExtent l="0" t="0" r="6985" b="635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E143D00">
      <w:pPr>
        <w:spacing w:line="360" w:lineRule="auto"/>
        <w:ind w:firstLine="482" w:firstLineChars="200"/>
        <w:rPr>
          <w:rFonts w:ascii="宋体" w:hAnsi="宋体" w:eastAsia="宋体" w:cs="宋体"/>
          <w:b/>
          <w:bCs/>
          <w:sz w:val="24"/>
        </w:rPr>
      </w:pPr>
      <w:r>
        <w:rPr>
          <w:rFonts w:hint="eastAsia" w:ascii="宋体" w:hAnsi="宋体" w:eastAsia="宋体" w:cs="宋体"/>
          <w:b/>
          <w:bCs/>
          <w:sz w:val="24"/>
        </w:rPr>
        <w:t>二、缘由诊断：商业秘密侵权惩罚性赔偿制度司法适用现状的困境分析</w:t>
      </w:r>
    </w:p>
    <w:p w14:paraId="1C682A6C">
      <w:pPr>
        <w:spacing w:line="360" w:lineRule="auto"/>
        <w:ind w:firstLine="482" w:firstLineChars="200"/>
        <w:rPr>
          <w:rFonts w:ascii="宋体" w:hAnsi="宋体" w:eastAsia="宋体" w:cs="宋体"/>
          <w:b/>
          <w:bCs/>
          <w:sz w:val="24"/>
        </w:rPr>
      </w:pPr>
      <w:r>
        <w:rPr>
          <w:rFonts w:hint="eastAsia" w:ascii="宋体" w:hAnsi="宋体" w:eastAsia="宋体" w:cs="宋体"/>
          <w:b/>
          <w:bCs/>
          <w:sz w:val="24"/>
        </w:rPr>
        <w:t>（一）商业秘密侵权惩罚性赔偿制度立法的先天不足</w:t>
      </w:r>
    </w:p>
    <w:p w14:paraId="2B36272C">
      <w:pPr>
        <w:spacing w:line="360" w:lineRule="auto"/>
        <w:rPr>
          <w:rFonts w:ascii="宋体" w:hAnsi="宋体" w:eastAsia="宋体" w:cs="宋体"/>
          <w:sz w:val="24"/>
        </w:rPr>
      </w:pPr>
      <w:r>
        <w:rPr>
          <w:rFonts w:hint="eastAsia" w:ascii="宋体" w:hAnsi="宋体" w:eastAsia="宋体" w:cs="宋体"/>
          <w:b/>
          <w:bCs/>
          <w:sz w:val="24"/>
        </w:rPr>
        <w:t xml:space="preserve"> </w:t>
      </w:r>
      <w:r>
        <w:rPr>
          <w:rFonts w:ascii="宋体" w:hAnsi="宋体" w:eastAsia="宋体" w:cs="宋体"/>
          <w:b/>
          <w:bCs/>
          <w:sz w:val="24"/>
        </w:rPr>
        <w:t xml:space="preserve">   </w:t>
      </w:r>
      <w:r>
        <w:rPr>
          <w:rFonts w:hint="eastAsia" w:ascii="宋体" w:hAnsi="宋体" w:eastAsia="宋体" w:cs="宋体"/>
          <w:sz w:val="24"/>
        </w:rPr>
        <w:t>尽管2</w:t>
      </w:r>
      <w:r>
        <w:rPr>
          <w:rFonts w:ascii="宋体" w:hAnsi="宋体" w:eastAsia="宋体" w:cs="宋体"/>
          <w:sz w:val="24"/>
        </w:rPr>
        <w:t>019</w:t>
      </w:r>
      <w:r>
        <w:rPr>
          <w:rFonts w:hint="eastAsia" w:ascii="宋体" w:hAnsi="宋体" w:eastAsia="宋体" w:cs="宋体"/>
          <w:sz w:val="24"/>
        </w:rPr>
        <w:t>年《反不正当竞争法》第</w:t>
      </w:r>
      <w:r>
        <w:rPr>
          <w:rFonts w:ascii="宋体" w:hAnsi="宋体" w:eastAsia="宋体" w:cs="宋体"/>
          <w:sz w:val="24"/>
        </w:rPr>
        <w:t>17</w:t>
      </w:r>
      <w:r>
        <w:rPr>
          <w:rFonts w:hint="eastAsia" w:ascii="宋体" w:hAnsi="宋体" w:eastAsia="宋体" w:cs="宋体"/>
          <w:sz w:val="24"/>
        </w:rPr>
        <w:t>条第三款引入了商业秘密侵权惩罚性赔偿规则，包括其适用条件与赔偿的计算依据，2</w:t>
      </w:r>
      <w:r>
        <w:rPr>
          <w:rFonts w:ascii="宋体" w:hAnsi="宋体" w:eastAsia="宋体" w:cs="宋体"/>
          <w:sz w:val="24"/>
        </w:rPr>
        <w:t>021</w:t>
      </w:r>
      <w:r>
        <w:rPr>
          <w:rFonts w:hint="eastAsia" w:ascii="宋体" w:hAnsi="宋体" w:eastAsia="宋体" w:cs="宋体"/>
          <w:sz w:val="24"/>
        </w:rPr>
        <w:t>年最高院颁布的《惩罚性赔偿解释》还通过对《民法典》第1</w:t>
      </w:r>
      <w:r>
        <w:rPr>
          <w:rFonts w:ascii="宋体" w:hAnsi="宋体" w:eastAsia="宋体" w:cs="宋体"/>
          <w:sz w:val="24"/>
        </w:rPr>
        <w:t>185</w:t>
      </w:r>
      <w:r>
        <w:rPr>
          <w:rFonts w:hint="eastAsia" w:ascii="宋体" w:hAnsi="宋体" w:eastAsia="宋体" w:cs="宋体"/>
          <w:sz w:val="24"/>
        </w:rPr>
        <w:t>条的解释明确了在包括商业秘密侵权在内的知识产权侵权领域适用惩罚性赔偿的条件、赔偿基数的选择以及赔偿倍数的确定等认定时的考察因素，但并没有给予具体的明确的判定标准，制度规则的先天不足难于满足司法适用的现实需要。加之商业秘密权利的自身特性，对其价值的量化确定较为困难，这也导致在商业秘密侵权中准确适用惩罚性赔偿规则面临较大的难度。但制度本身的不足，是造成商业秘密侵权惩罚性赔偿制度适用效率低下的根本原因。</w:t>
      </w:r>
    </w:p>
    <w:p w14:paraId="68562E59">
      <w:pPr>
        <w:spacing w:line="360" w:lineRule="auto"/>
        <w:ind w:firstLine="482" w:firstLineChars="200"/>
        <w:rPr>
          <w:rFonts w:ascii="宋体" w:hAnsi="宋体" w:eastAsia="宋体" w:cs="宋体"/>
          <w:b/>
          <w:bCs/>
          <w:sz w:val="24"/>
        </w:rPr>
      </w:pPr>
      <w:r>
        <w:rPr>
          <w:rFonts w:ascii="宋体" w:hAnsi="宋体" w:eastAsia="宋体" w:cs="宋体"/>
          <w:b/>
          <w:bCs/>
          <w:sz w:val="24"/>
        </w:rPr>
        <w:t>1.适用实体</w:t>
      </w:r>
      <w:r>
        <w:rPr>
          <w:rFonts w:hint="eastAsia" w:ascii="宋体" w:hAnsi="宋体" w:eastAsia="宋体" w:cs="宋体"/>
          <w:b/>
          <w:bCs/>
          <w:sz w:val="24"/>
        </w:rPr>
        <w:t>要件规定不够明确</w:t>
      </w:r>
    </w:p>
    <w:p w14:paraId="724E84B4">
      <w:pPr>
        <w:spacing w:line="360" w:lineRule="auto"/>
        <w:ind w:firstLine="480" w:firstLineChars="200"/>
        <w:rPr>
          <w:rFonts w:ascii="宋体" w:hAnsi="宋体" w:eastAsia="宋体" w:cs="宋体"/>
          <w:sz w:val="24"/>
        </w:rPr>
      </w:pPr>
      <w:r>
        <w:rPr>
          <w:rFonts w:hint="eastAsia" w:ascii="宋体" w:hAnsi="宋体" w:eastAsia="宋体" w:cs="宋体"/>
          <w:sz w:val="24"/>
        </w:rPr>
        <w:t>根据《反不正当竞争法》第1</w:t>
      </w:r>
      <w:r>
        <w:rPr>
          <w:rFonts w:ascii="宋体" w:hAnsi="宋体" w:eastAsia="宋体" w:cs="宋体"/>
          <w:sz w:val="24"/>
        </w:rPr>
        <w:t>7</w:t>
      </w:r>
      <w:r>
        <w:rPr>
          <w:rFonts w:hint="eastAsia" w:ascii="宋体" w:hAnsi="宋体" w:eastAsia="宋体" w:cs="宋体"/>
          <w:sz w:val="24"/>
        </w:rPr>
        <w:t>条第三款的规定，“经营者恶意实施侵犯商业秘密行为，情节严重”的，商业秘密被侵权人可以诉请和法院可以判赔侵权人承担惩罚性赔偿。由此可见，在商业秘密侵权案件中适用惩罚性赔偿，需要同时具备主观要件“恶意”与客观要件“情节严重”两个条件，但在司法适用中如何认定“恶意”及“情节严重”，该法未做进一步的规定。在此后最高人员法院于2</w:t>
      </w:r>
      <w:r>
        <w:rPr>
          <w:rFonts w:ascii="宋体" w:hAnsi="宋体" w:eastAsia="宋体" w:cs="宋体"/>
          <w:sz w:val="24"/>
        </w:rPr>
        <w:t>020</w:t>
      </w:r>
      <w:r>
        <w:rPr>
          <w:rFonts w:hint="eastAsia" w:ascii="宋体" w:hAnsi="宋体" w:eastAsia="宋体" w:cs="宋体"/>
          <w:sz w:val="24"/>
        </w:rPr>
        <w:t>年所颁布的《最高人民法院关于审理侵犯商业秘密民事案件适用法律若干问题的规定》（</w:t>
      </w:r>
      <w:r>
        <w:rPr>
          <w:rFonts w:ascii="宋体" w:hAnsi="宋体" w:eastAsia="宋体" w:cs="宋体"/>
          <w:sz w:val="24"/>
        </w:rPr>
        <w:t>法释〔2020〕7号</w:t>
      </w:r>
      <w:r>
        <w:rPr>
          <w:rFonts w:hint="eastAsia" w:ascii="宋体" w:hAnsi="宋体" w:eastAsia="宋体" w:cs="宋体"/>
          <w:sz w:val="24"/>
        </w:rPr>
        <w:t>，以下简称《商业秘密侵权解释》）和2</w:t>
      </w:r>
      <w:r>
        <w:rPr>
          <w:rFonts w:ascii="宋体" w:hAnsi="宋体" w:eastAsia="宋体" w:cs="宋体"/>
          <w:sz w:val="24"/>
        </w:rPr>
        <w:t>022</w:t>
      </w:r>
      <w:r>
        <w:rPr>
          <w:rFonts w:hint="eastAsia" w:ascii="宋体" w:hAnsi="宋体" w:eastAsia="宋体" w:cs="宋体"/>
          <w:sz w:val="24"/>
        </w:rPr>
        <w:t>年出台的《最高人民法院关于适用〈中华人民共和国反不正当竞争法〉若干问题的解释》（法释〔2022〕9号，以下简称《反不正当竞争法解释》）中，仅有对惩罚性赔偿判赔数额确定的解释性规定，但对于如何认定“恶意”和“情节严重”的问题，仍未提及。这种立法上的模糊规定，成为商业秘密侵权案件中积极适用惩罚性赔偿的重要障碍之一。</w:t>
      </w:r>
    </w:p>
    <w:p w14:paraId="493A42BD">
      <w:pPr>
        <w:spacing w:line="360" w:lineRule="auto"/>
        <w:ind w:firstLine="482" w:firstLineChars="200"/>
        <w:rPr>
          <w:rFonts w:ascii="宋体" w:hAnsi="宋体" w:eastAsia="宋体" w:cs="宋体"/>
          <w:sz w:val="24"/>
        </w:rPr>
      </w:pPr>
      <w:r>
        <w:rPr>
          <w:rFonts w:hint="eastAsia" w:ascii="宋体" w:hAnsi="宋体" w:eastAsia="宋体" w:cs="宋体"/>
          <w:b/>
          <w:sz w:val="24"/>
        </w:rPr>
        <w:t>（1）主观要件不够明确。</w:t>
      </w:r>
      <w:r>
        <w:rPr>
          <w:rFonts w:hint="eastAsia" w:ascii="宋体" w:hAnsi="宋体" w:eastAsia="宋体" w:cs="宋体"/>
          <w:sz w:val="24"/>
        </w:rPr>
        <w:t>根据《反不正当竞争法》第1</w:t>
      </w:r>
      <w:r>
        <w:rPr>
          <w:rFonts w:ascii="宋体" w:hAnsi="宋体" w:eastAsia="宋体" w:cs="宋体"/>
          <w:sz w:val="24"/>
        </w:rPr>
        <w:t>7</w:t>
      </w:r>
      <w:r>
        <w:rPr>
          <w:rFonts w:hint="eastAsia" w:ascii="宋体" w:hAnsi="宋体" w:eastAsia="宋体" w:cs="宋体"/>
          <w:sz w:val="24"/>
        </w:rPr>
        <w:t>条第三款之规定，只有主观上恶意侵犯商业秘密的行为方才可以适用惩罚性赔偿。对该“恶意”如何理解，与《民法典》第1</w:t>
      </w:r>
      <w:r>
        <w:rPr>
          <w:rFonts w:ascii="宋体" w:hAnsi="宋体" w:eastAsia="宋体" w:cs="宋体"/>
          <w:sz w:val="24"/>
        </w:rPr>
        <w:t>185</w:t>
      </w:r>
      <w:r>
        <w:rPr>
          <w:rFonts w:hint="eastAsia" w:ascii="宋体" w:hAnsi="宋体" w:eastAsia="宋体" w:cs="宋体"/>
          <w:sz w:val="24"/>
        </w:rPr>
        <w:t>条、2020年《著作权法》第54条第1款、《专利法》第71条第1款以及2021年《种子法》第72条第3款所规定的适用惩罚性赔偿上的“故意”是否一致，还是有所区别，不无困惑。在</w:t>
      </w:r>
      <w:r>
        <w:rPr>
          <w:rFonts w:ascii="宋体" w:hAnsi="宋体" w:eastAsia="宋体" w:cs="宋体"/>
          <w:sz w:val="24"/>
        </w:rPr>
        <w:t>2020</w:t>
      </w:r>
      <w:r>
        <w:rPr>
          <w:rFonts w:hint="eastAsia" w:ascii="宋体" w:hAnsi="宋体" w:eastAsia="宋体" w:cs="宋体"/>
          <w:sz w:val="24"/>
        </w:rPr>
        <w:t>《民法典》出台之前，学界对此理解多认为两者不一致。有学者认为，知识产权侵权中的“恶意”应当限于故意。</w:t>
      </w:r>
      <w:r>
        <w:rPr>
          <w:rStyle w:val="10"/>
          <w:rFonts w:ascii="宋体" w:hAnsi="宋体" w:eastAsia="宋体" w:cs="宋体"/>
          <w:sz w:val="24"/>
        </w:rPr>
        <w:footnoteReference w:id="16"/>
      </w:r>
      <w:r>
        <w:rPr>
          <w:rFonts w:hint="eastAsia" w:ascii="宋体" w:hAnsi="宋体" w:eastAsia="宋体" w:cs="宋体"/>
          <w:sz w:val="24"/>
        </w:rPr>
        <w:t>也有学者认为恶意是一种比故意在程度上更具可责性的主观心态，与直接故意大致相对应。</w:t>
      </w:r>
      <w:r>
        <w:rPr>
          <w:rStyle w:val="10"/>
          <w:rFonts w:ascii="宋体" w:hAnsi="宋体" w:eastAsia="宋体" w:cs="宋体"/>
          <w:sz w:val="24"/>
        </w:rPr>
        <w:footnoteReference w:id="17"/>
      </w:r>
      <w:r>
        <w:rPr>
          <w:rFonts w:hint="eastAsia" w:ascii="宋体" w:hAnsi="宋体" w:eastAsia="宋体" w:cs="宋体"/>
          <w:sz w:val="24"/>
        </w:rPr>
        <w:t>还有学者主张，对恶意的认定应采取更严格的标准，只有侵权人被告知其行为侵权后仍然实施不法行为，甚至在被判决侵权后继续实施侵权行为或者在实施侵权行为时，明知其行为侵权而为之并采取措施掩盖其侵权行为的，才构成恶意，单纯的故意不能构成恶意。</w:t>
      </w:r>
      <w:r>
        <w:rPr>
          <w:rStyle w:val="10"/>
          <w:rFonts w:ascii="宋体" w:hAnsi="宋体" w:eastAsia="宋体" w:cs="宋体"/>
          <w:sz w:val="24"/>
        </w:rPr>
        <w:footnoteReference w:id="18"/>
      </w:r>
    </w:p>
    <w:p w14:paraId="601AD8FD">
      <w:pPr>
        <w:spacing w:line="360" w:lineRule="auto"/>
        <w:ind w:firstLine="480" w:firstLineChars="200"/>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020</w:t>
      </w:r>
      <w:r>
        <w:rPr>
          <w:rFonts w:hint="eastAsia" w:ascii="宋体" w:hAnsi="宋体" w:eastAsia="宋体" w:cs="宋体"/>
          <w:sz w:val="24"/>
        </w:rPr>
        <w:t>年出台的《民法典》第1</w:t>
      </w:r>
      <w:r>
        <w:rPr>
          <w:rFonts w:ascii="宋体" w:hAnsi="宋体" w:eastAsia="宋体" w:cs="宋体"/>
          <w:sz w:val="24"/>
        </w:rPr>
        <w:t>185</w:t>
      </w:r>
      <w:r>
        <w:rPr>
          <w:rFonts w:hint="eastAsia" w:ascii="宋体" w:hAnsi="宋体" w:eastAsia="宋体" w:cs="宋体"/>
          <w:sz w:val="24"/>
        </w:rPr>
        <w:t>条将知识产权侵权惩罚性赔偿的主观要件确定为故意，2</w:t>
      </w:r>
      <w:r>
        <w:rPr>
          <w:rFonts w:ascii="宋体" w:hAnsi="宋体" w:eastAsia="宋体" w:cs="宋体"/>
          <w:sz w:val="24"/>
        </w:rPr>
        <w:t>021</w:t>
      </w:r>
      <w:r>
        <w:rPr>
          <w:rFonts w:hint="eastAsia" w:ascii="宋体" w:hAnsi="宋体" w:eastAsia="宋体" w:cs="宋体"/>
          <w:sz w:val="24"/>
        </w:rPr>
        <w:t>年《知识产权侵权惩罚性赔偿解释》在第1条第二款中根据长期的司法实践经验，认为应将故意与恶意做一致性理解，并在第3条中规定了认定“故意”的考量因素及具体情形。最高院作出这一解释，虽然实现了《反不正当竞争法》第1</w:t>
      </w:r>
      <w:r>
        <w:rPr>
          <w:rFonts w:ascii="宋体" w:hAnsi="宋体" w:eastAsia="宋体" w:cs="宋体"/>
          <w:sz w:val="24"/>
        </w:rPr>
        <w:t>7</w:t>
      </w:r>
      <w:r>
        <w:rPr>
          <w:rFonts w:hint="eastAsia" w:ascii="宋体" w:hAnsi="宋体" w:eastAsia="宋体" w:cs="宋体"/>
          <w:sz w:val="24"/>
        </w:rPr>
        <w:t>条第三款的规定与《民法典》第1</w:t>
      </w:r>
      <w:r>
        <w:rPr>
          <w:rFonts w:ascii="宋体" w:hAnsi="宋体" w:eastAsia="宋体" w:cs="宋体"/>
          <w:sz w:val="24"/>
        </w:rPr>
        <w:t>185</w:t>
      </w:r>
      <w:r>
        <w:rPr>
          <w:rFonts w:hint="eastAsia" w:ascii="宋体" w:hAnsi="宋体" w:eastAsia="宋体" w:cs="宋体"/>
          <w:sz w:val="24"/>
        </w:rPr>
        <w:t>条的规定在术语上的一致并增强实践的可操作性，但却有“掩盖式”回避理论困境之嫌。</w:t>
      </w:r>
      <w:r>
        <w:rPr>
          <w:rStyle w:val="10"/>
          <w:rFonts w:hint="eastAsia" w:ascii="宋体" w:hAnsi="宋体" w:eastAsia="宋体" w:cs="宋体"/>
          <w:sz w:val="24"/>
        </w:rPr>
        <w:footnoteReference w:id="19"/>
      </w:r>
      <w:r>
        <w:rPr>
          <w:rFonts w:hint="eastAsia" w:ascii="宋体" w:hAnsi="宋体" w:eastAsia="宋体" w:cs="宋体"/>
          <w:sz w:val="24"/>
        </w:rPr>
        <w:t>以样本中（2021）最高法知民终2298号案件为例，法院以证据不足以证明被告系恶意为由拒绝适用惩罚性赔偿。如果参照《知识产权侵权惩罚性赔偿解释》的规定，“恶意”即为“故意”，而“故意”又包括直接故意与间接故意。在本案中，被告以原告员工的身份违反保密义务，公开在平台披露涉案源代码，造成涉案源代码被多人下载，导致原告的重大损失。被告在主观上明知涉案代码会被多人下载仍选择公开披露，主观心态显然超出了过失的标准，而至少应认定其为间接故意。然而，从法院的判决来看，其对于“恶意”的认定标准仍高于“故意”。由此，立法层面“恶意”与“故意”作一致解释并未能给出明确标准，不能作为解决司法中在审判商业秘密侵权案件时是否适用惩罚性赔偿的根本方案。</w:t>
      </w:r>
    </w:p>
    <w:p w14:paraId="72CC5E74">
      <w:pPr>
        <w:spacing w:line="360" w:lineRule="auto"/>
        <w:ind w:firstLine="482" w:firstLineChars="200"/>
        <w:rPr>
          <w:rFonts w:ascii="宋体" w:hAnsi="宋体" w:eastAsia="宋体" w:cs="宋体"/>
          <w:sz w:val="24"/>
        </w:rPr>
      </w:pPr>
      <w:r>
        <w:rPr>
          <w:rFonts w:hint="eastAsia" w:ascii="宋体" w:hAnsi="宋体" w:eastAsia="宋体" w:cs="宋体"/>
          <w:b/>
          <w:sz w:val="24"/>
        </w:rPr>
        <w:t>（2）客观要件的认定标准模糊。</w:t>
      </w:r>
      <w:r>
        <w:rPr>
          <w:rFonts w:hint="eastAsia" w:ascii="宋体" w:hAnsi="宋体" w:eastAsia="宋体" w:cs="宋体"/>
          <w:sz w:val="24"/>
        </w:rPr>
        <w:t>《反不正当竞争法》第17条第三款规定了“情节严重”是在商业秘密侵权惩罚性赔偿适用的客观要件。但何为情节严重，《反不正当竞争法》并未规定，《商业秘密侵权解释》与《反不正当竞争法解释》也未明确。学术界认为，应当关注行为方式和后果的严重性，而不涉及行为人的主观状态。</w:t>
      </w:r>
      <w:r>
        <w:rPr>
          <w:rStyle w:val="10"/>
          <w:rFonts w:ascii="宋体" w:hAnsi="宋体" w:eastAsia="宋体" w:cs="宋体"/>
          <w:sz w:val="24"/>
        </w:rPr>
        <w:footnoteReference w:id="20"/>
      </w:r>
      <w:r>
        <w:rPr>
          <w:rFonts w:hint="eastAsia" w:ascii="宋体" w:hAnsi="宋体" w:eastAsia="宋体" w:cs="宋体"/>
          <w:sz w:val="24"/>
        </w:rPr>
        <w:t>在司法实务中，法院一般也是综合侵权行为方式、范围、所造成的影响等方面的考察来做出裁判的。《知识产权侵权惩罚性赔偿解释》第4条中规定了认定“情节严重”的考量因素，包括侵权手段、次数，侵权行为的持续时间、地域范围、规模、后果，侵权人在诉讼中的行为等因素，同时还列举了若干可以认定为情节严重的具体情形。有学者通过对已有知识产权侵权惩罚性赔偿司法判决的梳理，总结出司法实务中认定情节严重的主要情形有完全照抄、反复侵权、被查处后仍然继续实施侵权行为、侵权规模大、侵权获利巨、损害原告商誉、造成不良社会影响、诉讼中的不当行为等，出现这些情形的一般认定为情节严重。</w:t>
      </w:r>
      <w:r>
        <w:rPr>
          <w:rStyle w:val="10"/>
          <w:rFonts w:ascii="宋体" w:hAnsi="宋体" w:eastAsia="宋体" w:cs="宋体"/>
          <w:sz w:val="24"/>
        </w:rPr>
        <w:footnoteReference w:id="21"/>
      </w:r>
      <w:r>
        <w:rPr>
          <w:rFonts w:hint="eastAsia" w:ascii="宋体" w:hAnsi="宋体" w:eastAsia="宋体" w:cs="宋体"/>
          <w:sz w:val="24"/>
        </w:rPr>
        <w:t>司法解释对认定情节严重的参考因素以及对可以认定为情节严重行为的具体列举，为司法实践中认定商业秘密侵权行为是否达到适用惩罚性赔偿的标准提供了司法指引，有利于《反不正当竞争法》第1</w:t>
      </w:r>
      <w:r>
        <w:rPr>
          <w:rFonts w:ascii="宋体" w:hAnsi="宋体" w:eastAsia="宋体" w:cs="宋体"/>
          <w:sz w:val="24"/>
        </w:rPr>
        <w:t>7</w:t>
      </w:r>
      <w:r>
        <w:rPr>
          <w:rFonts w:hint="eastAsia" w:ascii="宋体" w:hAnsi="宋体" w:eastAsia="宋体" w:cs="宋体"/>
          <w:sz w:val="24"/>
        </w:rPr>
        <w:t>条第三款所规定的惩罚性赔偿规则的适用。</w:t>
      </w:r>
    </w:p>
    <w:p w14:paraId="48AD6871">
      <w:pPr>
        <w:spacing w:line="360" w:lineRule="auto"/>
        <w:ind w:firstLine="480" w:firstLineChars="200"/>
        <w:rPr>
          <w:rFonts w:ascii="宋体" w:hAnsi="宋体" w:eastAsia="宋体" w:cs="宋体"/>
          <w:sz w:val="24"/>
        </w:rPr>
      </w:pPr>
      <w:r>
        <w:rPr>
          <w:rFonts w:hint="eastAsia" w:ascii="宋体" w:hAnsi="宋体" w:eastAsia="宋体" w:cs="宋体"/>
          <w:sz w:val="24"/>
        </w:rPr>
        <w:t>但我们也观察到，司法解释列举的可以认定为情节严重的情形，在实践中的判断仍然存在困难。主要编写现在：其一，虽然司法解释列举了相关情形，但其判断需要综合案件的不同情形，主要依赖于法官办案水平，主观性过大。其二，情节严重与主观恶意的认定存在重合之处，有些判决出现以同一理由对两者进行认定的情形，从而引发司法适用上的混乱。其三，情节严重的程度等级缺乏明确的标准。根据《知识产权侵权惩罚性赔偿解释》第6条第一款的规定，侵权行为的情节严重程度是法院依法确定惩罚性赔偿的倍数时的重要参考因素，根据情节严重的程度不同，法官可以在法律规定的一至五倍的范围内自由裁量其倍数，但是以何种幅度的情节严重对应相应倍数，法律规定上并没有明确依据。完全依赖于承办法官的自由裁量。为准确理解与适用《反正不当竞争法》第1</w:t>
      </w:r>
      <w:r>
        <w:rPr>
          <w:rFonts w:ascii="宋体" w:hAnsi="宋体" w:eastAsia="宋体" w:cs="宋体"/>
          <w:sz w:val="24"/>
        </w:rPr>
        <w:t>7</w:t>
      </w:r>
      <w:r>
        <w:rPr>
          <w:rFonts w:hint="eastAsia" w:ascii="宋体" w:hAnsi="宋体" w:eastAsia="宋体" w:cs="宋体"/>
          <w:sz w:val="24"/>
        </w:rPr>
        <w:t>条第三款的规定，充分发挥惩罚性赔偿制度在商业秘密保护中的作用，有待进一步明确规范惩罚性赔偿的实体要件。</w:t>
      </w:r>
    </w:p>
    <w:p w14:paraId="02946212">
      <w:pPr>
        <w:spacing w:line="360" w:lineRule="auto"/>
        <w:ind w:firstLine="480" w:firstLineChars="200"/>
        <w:rPr>
          <w:rFonts w:ascii="宋体" w:hAnsi="宋体" w:eastAsia="宋体" w:cs="宋体"/>
          <w:b/>
          <w:bCs/>
          <w:sz w:val="24"/>
        </w:rPr>
      </w:pPr>
      <w:r>
        <w:rPr>
          <w:rFonts w:hint="eastAsia" w:ascii="宋体" w:hAnsi="宋体" w:eastAsia="宋体" w:cs="宋体"/>
          <w:sz w:val="24"/>
        </w:rPr>
        <w:t>（二）</w:t>
      </w:r>
      <w:r>
        <w:rPr>
          <w:rFonts w:ascii="宋体" w:hAnsi="宋体" w:eastAsia="宋体" w:cs="宋体"/>
          <w:b/>
          <w:bCs/>
          <w:sz w:val="24"/>
        </w:rPr>
        <w:t>商业秘密侵权惩罚性赔偿</w:t>
      </w:r>
      <w:r>
        <w:rPr>
          <w:rFonts w:hint="eastAsia" w:ascii="宋体" w:hAnsi="宋体" w:eastAsia="宋体" w:cs="宋体"/>
          <w:b/>
          <w:bCs/>
          <w:sz w:val="24"/>
        </w:rPr>
        <w:t>数额确定难</w:t>
      </w:r>
    </w:p>
    <w:p w14:paraId="49EE87D7">
      <w:pPr>
        <w:spacing w:line="360" w:lineRule="auto"/>
        <w:ind w:firstLine="480" w:firstLineChars="200"/>
        <w:rPr>
          <w:rFonts w:ascii="宋体" w:hAnsi="宋体" w:eastAsia="宋体" w:cs="宋体"/>
          <w:bCs/>
          <w:sz w:val="24"/>
        </w:rPr>
      </w:pPr>
      <w:r>
        <w:rPr>
          <w:rFonts w:hint="eastAsia" w:ascii="宋体" w:hAnsi="宋体" w:eastAsia="宋体" w:cs="宋体"/>
          <w:bCs/>
          <w:sz w:val="24"/>
        </w:rPr>
        <w:t>《反不正当竞争法》第1</w:t>
      </w:r>
      <w:r>
        <w:rPr>
          <w:rFonts w:ascii="宋体" w:hAnsi="宋体" w:eastAsia="宋体" w:cs="宋体"/>
          <w:bCs/>
          <w:sz w:val="24"/>
        </w:rPr>
        <w:t>7</w:t>
      </w:r>
      <w:r>
        <w:rPr>
          <w:rFonts w:hint="eastAsia" w:ascii="宋体" w:hAnsi="宋体" w:eastAsia="宋体" w:cs="宋体"/>
          <w:bCs/>
          <w:sz w:val="24"/>
        </w:rPr>
        <w:t>条第三款规定了商业秘密惩罚性赔偿数额确定的基数及其倍数。</w:t>
      </w:r>
      <w:r>
        <w:rPr>
          <w:rStyle w:val="10"/>
          <w:rFonts w:ascii="宋体" w:hAnsi="宋体" w:eastAsia="宋体" w:cs="宋体"/>
          <w:bCs/>
          <w:sz w:val="24"/>
        </w:rPr>
        <w:footnoteReference w:id="22"/>
      </w:r>
      <w:r>
        <w:rPr>
          <w:rFonts w:hint="eastAsia" w:ascii="宋体" w:hAnsi="宋体" w:eastAsia="宋体" w:cs="宋体"/>
          <w:bCs/>
          <w:sz w:val="24"/>
        </w:rPr>
        <w:t>但透视商业秘密侵权惩罚性赔偿使用率低以及赔付率的司法实践，我们发现，造成这种适用效率低的原因之一在于惩罚性赔偿数额确定难。具体如下：</w:t>
      </w:r>
    </w:p>
    <w:p w14:paraId="142E4DEC">
      <w:pPr>
        <w:spacing w:line="360" w:lineRule="auto"/>
        <w:ind w:firstLine="480" w:firstLineChars="200"/>
        <w:rPr>
          <w:rFonts w:ascii="宋体" w:hAnsi="宋体" w:eastAsia="宋体" w:cs="宋体"/>
          <w:b/>
          <w:bCs/>
          <w:sz w:val="24"/>
        </w:rPr>
      </w:pPr>
      <w:r>
        <w:rPr>
          <w:rFonts w:hint="eastAsia" w:ascii="宋体" w:hAnsi="宋体" w:eastAsia="宋体" w:cs="宋体"/>
          <w:bCs/>
          <w:sz w:val="24"/>
        </w:rPr>
        <w:t>1</w:t>
      </w:r>
      <w:r>
        <w:rPr>
          <w:rFonts w:ascii="宋体" w:hAnsi="宋体" w:eastAsia="宋体" w:cs="宋体"/>
          <w:bCs/>
          <w:sz w:val="24"/>
        </w:rPr>
        <w:t>.</w:t>
      </w:r>
      <w:r>
        <w:rPr>
          <w:rFonts w:hint="eastAsia" w:ascii="宋体" w:hAnsi="宋体" w:eastAsia="宋体" w:cs="宋体"/>
          <w:b/>
          <w:bCs/>
          <w:sz w:val="24"/>
        </w:rPr>
        <w:t>赔偿数额基数难确定</w:t>
      </w:r>
    </w:p>
    <w:p w14:paraId="1D12ECC9">
      <w:pPr>
        <w:spacing w:line="360" w:lineRule="auto"/>
        <w:ind w:firstLine="480" w:firstLineChars="200"/>
        <w:rPr>
          <w:rFonts w:ascii="宋体" w:hAnsi="宋体" w:eastAsia="宋体" w:cs="宋体"/>
          <w:sz w:val="24"/>
        </w:rPr>
      </w:pPr>
      <w:r>
        <w:rPr>
          <w:rFonts w:hint="eastAsia" w:ascii="宋体" w:hAnsi="宋体" w:eastAsia="宋体" w:cs="宋体"/>
          <w:sz w:val="24"/>
        </w:rPr>
        <w:t>知识产权法上损害赔偿的计算以民法上的全面赔偿为基准、惩罚性赔偿为特例。</w:t>
      </w:r>
      <w:r>
        <w:rPr>
          <w:rStyle w:val="10"/>
          <w:rFonts w:hint="eastAsia" w:ascii="宋体" w:hAnsi="宋体" w:eastAsia="宋体" w:cs="宋体"/>
          <w:sz w:val="24"/>
        </w:rPr>
        <w:footnoteReference w:id="23"/>
      </w:r>
      <w:r>
        <w:rPr>
          <w:rFonts w:hint="eastAsia" w:ascii="宋体" w:hAnsi="宋体" w:eastAsia="宋体" w:cs="宋体"/>
          <w:sz w:val="24"/>
        </w:rPr>
        <w:t>补偿性数额是侵权赔偿中填平原则的体现，即填平权利人因侵权行为而遭受的损害数额。因此，惩罚性赔偿数额确定的通常做法是以补偿性赔偿数额为计算基数，在此基础上在法律规定的范围内进行翻倍。</w:t>
      </w:r>
      <w:r>
        <w:rPr>
          <w:rStyle w:val="10"/>
          <w:rFonts w:ascii="宋体" w:hAnsi="宋体" w:eastAsia="宋体" w:cs="宋体"/>
          <w:sz w:val="24"/>
        </w:rPr>
        <w:footnoteReference w:id="24"/>
      </w:r>
      <w:r>
        <w:rPr>
          <w:rFonts w:hint="eastAsia" w:ascii="宋体" w:hAnsi="宋体" w:eastAsia="宋体" w:cs="宋体"/>
          <w:sz w:val="24"/>
        </w:rPr>
        <w:t>因此，在确定知识产权侵权惩罚性赔偿数额时，应当将知识产权侵权的补偿性赔偿数额作为计算的基数，具体包括实际损失数额、侵权获利所得数额或者许可费倍数。</w:t>
      </w:r>
      <w:r>
        <w:rPr>
          <w:rStyle w:val="10"/>
          <w:rFonts w:ascii="宋体" w:hAnsi="宋体" w:eastAsia="宋体" w:cs="宋体"/>
          <w:sz w:val="24"/>
        </w:rPr>
        <w:footnoteReference w:id="25"/>
      </w:r>
      <w:r>
        <w:rPr>
          <w:rFonts w:hint="eastAsia" w:ascii="宋体" w:hAnsi="宋体" w:eastAsia="宋体" w:cs="宋体"/>
          <w:sz w:val="24"/>
        </w:rPr>
        <w:t>但对这几种补偿性赔偿数额确定方法适用的顺序，从我国知识产权单行法的规定来看，有并列型与顺位型两种。</w:t>
      </w:r>
      <w:r>
        <w:rPr>
          <w:rStyle w:val="10"/>
          <w:rFonts w:ascii="宋体" w:hAnsi="宋体" w:eastAsia="宋体" w:cs="宋体"/>
          <w:sz w:val="24"/>
        </w:rPr>
        <w:footnoteReference w:id="26"/>
      </w:r>
      <w:r>
        <w:rPr>
          <w:rFonts w:hint="eastAsia" w:ascii="宋体" w:hAnsi="宋体" w:eastAsia="宋体" w:cs="宋体"/>
          <w:sz w:val="24"/>
        </w:rPr>
        <w:t>根据《反不正当竞争法》第1</w:t>
      </w:r>
      <w:r>
        <w:rPr>
          <w:rFonts w:ascii="宋体" w:hAnsi="宋体" w:eastAsia="宋体" w:cs="宋体"/>
          <w:sz w:val="24"/>
        </w:rPr>
        <w:t>7</w:t>
      </w:r>
      <w:r>
        <w:rPr>
          <w:rFonts w:hint="eastAsia" w:ascii="宋体" w:hAnsi="宋体" w:eastAsia="宋体" w:cs="宋体"/>
          <w:sz w:val="24"/>
        </w:rPr>
        <w:t>条第三款的规定，在商业秘密侵权案件中适用惩罚性赔偿同样以补偿性赔偿数额为基数，其确定方法是按照权利人所受实际损失、侵权人所获利益等先后顺序确定赔偿数额，采用了先后次序。前一项难以确定的时候，再按后面的计算方式确定。</w:t>
      </w:r>
    </w:p>
    <w:p w14:paraId="34CF9A00">
      <w:pPr>
        <w:spacing w:line="360" w:lineRule="auto"/>
        <w:ind w:firstLine="480" w:firstLineChars="200"/>
        <w:rPr>
          <w:rFonts w:ascii="宋体" w:hAnsi="宋体" w:eastAsia="宋体" w:cs="宋体"/>
          <w:sz w:val="24"/>
        </w:rPr>
      </w:pPr>
      <w:r>
        <w:rPr>
          <w:rFonts w:hint="eastAsia" w:ascii="宋体" w:hAnsi="宋体" w:eastAsia="宋体" w:cs="宋体"/>
          <w:sz w:val="24"/>
        </w:rPr>
        <w:t>《知识产权侵权惩罚性赔偿解释》第5条第一款规定了惩罚性赔偿数额的计算基数应当分别依照相关法律加以确定，并没有明确商业秘密侵权惩罚性赔偿是否可参考许可费倍数作为赔偿数额的确定基数。为弥补这一不足，第一款规定了权利人可以请求 “参照商业秘密许可使用费确定因被侵权所受到的实际损失”，并明确了需要考虑的相关因素。《商业秘密侵权解释》</w:t>
      </w:r>
      <w:r>
        <w:rPr>
          <w:rFonts w:ascii="宋体" w:hAnsi="宋体" w:eastAsia="宋体" w:cs="宋体"/>
          <w:sz w:val="24"/>
        </w:rPr>
        <w:t>第23条规定：“当事人主张依据生效刑事裁判认定的实际损失或者违法所得确定涉及同一侵犯商业秘密行为的民事案件赔偿数额的，人民法院应予支持。”</w:t>
      </w:r>
      <w:r>
        <w:rPr>
          <w:rFonts w:hint="eastAsia" w:ascii="宋体" w:hAnsi="宋体" w:eastAsia="宋体" w:cs="宋体"/>
          <w:sz w:val="24"/>
        </w:rPr>
        <w:t>前述音王电声股份有限公司、惠州市辉特电子科技有限公司等侵害商业秘密纠纷案中，法院就</w:t>
      </w:r>
      <w:r>
        <w:rPr>
          <w:rFonts w:ascii="宋体" w:hAnsi="宋体" w:eastAsia="宋体" w:cs="宋体"/>
          <w:sz w:val="24"/>
        </w:rPr>
        <w:t>依据刑事判决书中确定的原告音王公司的损失91.43万元作为在本案中主张赔偿数额的基数</w:t>
      </w:r>
      <w:r>
        <w:rPr>
          <w:rFonts w:hint="eastAsia" w:ascii="宋体" w:hAnsi="宋体" w:eastAsia="宋体" w:cs="宋体"/>
          <w:sz w:val="24"/>
        </w:rPr>
        <w:t>。虽然立法的规定看似很清晰，但基于商业秘密的秘密性及价值性，涉案产品数量、交易金额等相对复杂，权利人所受实际损失及侵权人所获利益通常情况下难以准确查明，因而，当前司法适用中便存在着因赔偿数额难以计算致使惩罚性赔偿适用困难的问题。</w:t>
      </w:r>
    </w:p>
    <w:p w14:paraId="6A6EB471">
      <w:pPr>
        <w:spacing w:line="360" w:lineRule="auto"/>
        <w:ind w:firstLine="482" w:firstLineChars="200"/>
        <w:rPr>
          <w:rFonts w:ascii="宋体" w:hAnsi="宋体" w:eastAsia="宋体" w:cs="宋体"/>
          <w:b/>
          <w:sz w:val="24"/>
        </w:rPr>
      </w:pPr>
      <w:r>
        <w:rPr>
          <w:rFonts w:hint="eastAsia" w:ascii="宋体" w:hAnsi="宋体" w:eastAsia="宋体" w:cs="宋体"/>
          <w:b/>
          <w:sz w:val="24"/>
        </w:rPr>
        <w:t>2</w:t>
      </w:r>
      <w:r>
        <w:rPr>
          <w:rFonts w:ascii="宋体" w:hAnsi="宋体" w:eastAsia="宋体" w:cs="宋体"/>
          <w:b/>
          <w:sz w:val="24"/>
        </w:rPr>
        <w:t>.</w:t>
      </w:r>
      <w:r>
        <w:rPr>
          <w:rFonts w:hint="eastAsia" w:ascii="宋体" w:hAnsi="宋体" w:eastAsia="宋体" w:cs="宋体"/>
          <w:b/>
          <w:sz w:val="24"/>
        </w:rPr>
        <w:t>惩罚倍数难确定</w:t>
      </w:r>
    </w:p>
    <w:p w14:paraId="7B6CAC64">
      <w:pPr>
        <w:spacing w:line="360" w:lineRule="auto"/>
        <w:ind w:firstLine="480" w:firstLineChars="200"/>
        <w:rPr>
          <w:rFonts w:ascii="宋体" w:hAnsi="宋体" w:eastAsia="宋体" w:cs="宋体"/>
          <w:sz w:val="24"/>
        </w:rPr>
      </w:pPr>
      <w:r>
        <w:rPr>
          <w:rFonts w:ascii="宋体" w:hAnsi="宋体" w:eastAsia="宋体" w:cs="宋体"/>
          <w:sz w:val="24"/>
        </w:rPr>
        <w:t>关于惩罚倍数的认定，</w:t>
      </w:r>
      <w:r>
        <w:rPr>
          <w:rFonts w:hint="eastAsia" w:ascii="宋体" w:hAnsi="宋体" w:eastAsia="宋体" w:cs="宋体"/>
          <w:sz w:val="24"/>
        </w:rPr>
        <w:t>《反不正当竞争法》第1</w:t>
      </w:r>
      <w:r>
        <w:rPr>
          <w:rFonts w:ascii="宋体" w:hAnsi="宋体" w:eastAsia="宋体" w:cs="宋体"/>
          <w:sz w:val="24"/>
        </w:rPr>
        <w:t>7</w:t>
      </w:r>
      <w:r>
        <w:rPr>
          <w:rFonts w:hint="eastAsia" w:ascii="宋体" w:hAnsi="宋体" w:eastAsia="宋体" w:cs="宋体"/>
          <w:sz w:val="24"/>
        </w:rPr>
        <w:t>条第三款</w:t>
      </w:r>
      <w:r>
        <w:rPr>
          <w:rFonts w:ascii="宋体" w:hAnsi="宋体" w:eastAsia="宋体" w:cs="宋体"/>
          <w:sz w:val="24"/>
        </w:rPr>
        <w:t>仅概述性地指出</w:t>
      </w:r>
      <w:r>
        <w:rPr>
          <w:rFonts w:hint="eastAsia" w:ascii="宋体" w:hAnsi="宋体" w:eastAsia="宋体" w:cs="宋体"/>
          <w:sz w:val="24"/>
        </w:rPr>
        <w:t>以惩罚性赔偿数额为“确定数额的一倍以上五倍以下。”此外，《知识产权侵权惩罚性赔偿解释》第六条还规定了“人民法院依法确定惩罚性赔偿的倍数时，应当综合考虑被告主观过错程度、侵权行为的情节严重程度等因素”。但如前所述，由于现行立法中对惩罚性赔偿中的故意的内涵与外延，以及情节严重程度缺乏明确的规定，导致在实践中对其理解与适用的主观性较大。除了最高法在典型案例如“卡波案”中根据具体侵权情节、主观过错程度等顶格5倍适用惩罚性赔偿等，大多中级法院、知识产权法院等对于惩罚倍数确定均较为保守。</w:t>
      </w:r>
      <w:r>
        <w:rPr>
          <w:rStyle w:val="10"/>
          <w:rFonts w:hint="eastAsia" w:ascii="宋体" w:hAnsi="宋体" w:eastAsia="宋体" w:cs="宋体"/>
          <w:sz w:val="24"/>
        </w:rPr>
        <w:footnoteReference w:id="27"/>
      </w:r>
      <w:r>
        <w:rPr>
          <w:rFonts w:hint="eastAsia" w:ascii="宋体" w:hAnsi="宋体" w:eastAsia="宋体" w:cs="宋体"/>
          <w:sz w:val="24"/>
        </w:rPr>
        <w:t>同时，法官在对是否适用惩罚性赔偿进行说理时，由于法律未对倍数与情节等的具体对应关系作明确规定，往往忽略说理性论述。以（2023）新01知民初6号为例，本案中法院最终判决酌定被告向原告赔偿损失70万元，但是既未对不适用惩罚性赔偿作出说明，也未对赔偿数额70万的具体确定方式作出详细解释，如此有损法院裁决的公信力。</w:t>
      </w:r>
    </w:p>
    <w:p w14:paraId="33485BCB">
      <w:pPr>
        <w:spacing w:line="360" w:lineRule="auto"/>
        <w:ind w:firstLine="482" w:firstLineChars="200"/>
        <w:rPr>
          <w:rFonts w:ascii="宋体" w:hAnsi="宋体" w:eastAsia="宋体" w:cs="宋体"/>
          <w:b/>
          <w:sz w:val="24"/>
        </w:rPr>
      </w:pPr>
      <w:r>
        <w:rPr>
          <w:rFonts w:hint="eastAsia" w:ascii="宋体" w:hAnsi="宋体" w:eastAsia="宋体" w:cs="宋体"/>
          <w:b/>
          <w:sz w:val="24"/>
        </w:rPr>
        <w:t>（三）法定赔偿与惩罚性赔偿的关系不够明晰</w:t>
      </w:r>
    </w:p>
    <w:p w14:paraId="28D3EF10">
      <w:pPr>
        <w:spacing w:line="360" w:lineRule="auto"/>
        <w:ind w:firstLine="480" w:firstLineChars="200"/>
        <w:rPr>
          <w:rFonts w:ascii="宋体" w:hAnsi="宋体" w:eastAsia="宋体" w:cs="宋体"/>
          <w:sz w:val="24"/>
        </w:rPr>
      </w:pPr>
      <w:r>
        <w:rPr>
          <w:rFonts w:hint="eastAsia" w:ascii="宋体" w:hAnsi="宋体" w:eastAsia="宋体" w:cs="宋体"/>
          <w:bCs/>
          <w:sz w:val="24"/>
        </w:rPr>
        <w:t>《反不正当竞争法》第17条第四款的规定，</w:t>
      </w:r>
      <w:r>
        <w:rPr>
          <w:rFonts w:hint="eastAsia" w:ascii="宋体" w:hAnsi="宋体" w:eastAsia="宋体" w:cs="宋体"/>
          <w:sz w:val="24"/>
        </w:rPr>
        <w:t>在权利人所受实际损失及侵权人所获利益都难以确定的情况下，法律赋予法院在五百万元以内作出法定赔偿判决的权利。立法规定法定赔偿本意是将法定赔偿作为替补角色，在实际损失、利益都难以计算的情况下，为了全面保障权利人的利益给予法院综合考虑各种因素后做出决定赔偿数额的一种赔偿数额确定规则。然而在司法实践中却出现了以法定赔偿替代惩罚性赔偿的趋势。在选取的12起案例样本中，除1起被驳回全部请求，1起适用惩罚性赔偿外，其余10起均适用了法定赔偿。</w:t>
      </w:r>
    </w:p>
    <w:p w14:paraId="79DD14E6">
      <w:pPr>
        <w:spacing w:line="360" w:lineRule="auto"/>
        <w:ind w:firstLine="480" w:firstLineChars="200"/>
        <w:rPr>
          <w:rFonts w:ascii="宋体" w:hAnsi="宋体" w:eastAsia="宋体" w:cs="宋体"/>
          <w:sz w:val="24"/>
        </w:rPr>
      </w:pPr>
      <w:r>
        <w:rPr>
          <w:rFonts w:hint="eastAsia" w:ascii="宋体" w:hAnsi="宋体" w:eastAsia="宋体" w:cs="宋体"/>
          <w:sz w:val="24"/>
        </w:rPr>
        <w:t>法官之所以选择法定赔偿作出判决，除了商业秘密侵权案件中举证、具体数据计算困难外，更是因为法定赔偿给予法官的自由裁量权较大，行使法定赔偿较为简便。但法定赔偿的滥用以及对惩罚性赔偿的替代，一定程度上会降低商业秘密侵权救济中当事人举证责任承担的积极性，增加法院不合理的证明责任的承担，而且认为地造成制度适用中的冲突。造成这种局面的原因是立法未对法定赔偿的属性与功能给予明确界定。如，有学者认为由于法定赔偿中已经考虑了侵权人的主观过错和侵权情节的严重性等因素，法定赔偿的适用已经兼具惩罚性功能，因此法定赔偿的适用可以一定上发挥惩罚性赔偿的功能，</w:t>
      </w:r>
      <w:r>
        <w:rPr>
          <w:rStyle w:val="10"/>
          <w:rFonts w:ascii="宋体" w:hAnsi="宋体" w:eastAsia="宋体" w:cs="宋体"/>
          <w:sz w:val="24"/>
        </w:rPr>
        <w:footnoteReference w:id="28"/>
      </w:r>
      <w:r>
        <w:rPr>
          <w:rFonts w:hint="eastAsia" w:ascii="宋体" w:hAnsi="宋体" w:eastAsia="宋体" w:cs="宋体"/>
          <w:sz w:val="24"/>
        </w:rPr>
        <w:t>但也有观点认为，认为法定赔偿并不具备惩罚性，因此法定赔偿数额同样可以作为惩罚性赔偿数额的计算基数。</w:t>
      </w:r>
      <w:r>
        <w:rPr>
          <w:rStyle w:val="10"/>
          <w:rFonts w:ascii="宋体" w:hAnsi="宋体" w:eastAsia="宋体" w:cs="宋体"/>
          <w:sz w:val="24"/>
        </w:rPr>
        <w:footnoteReference w:id="29"/>
      </w:r>
      <w:r>
        <w:rPr>
          <w:rFonts w:hint="eastAsia" w:ascii="宋体" w:hAnsi="宋体" w:eastAsia="宋体" w:cs="宋体"/>
          <w:sz w:val="24"/>
        </w:rPr>
        <w:t>因此，从立法对法定赔偿的属性作出明确，从而厘清惩罚性赔偿与法定赔偿之间的关系，对于准确理解与适用法定赔偿，提升惩罚性赔偿的适用效率具有重要意义。</w:t>
      </w:r>
    </w:p>
    <w:p w14:paraId="5539EBBB">
      <w:pPr>
        <w:spacing w:line="360" w:lineRule="auto"/>
        <w:ind w:firstLine="482" w:firstLineChars="200"/>
        <w:rPr>
          <w:rFonts w:ascii="宋体" w:hAnsi="宋体" w:eastAsia="宋体" w:cs="宋体"/>
          <w:b/>
          <w:bCs/>
          <w:sz w:val="24"/>
        </w:rPr>
      </w:pPr>
      <w:r>
        <w:rPr>
          <w:rFonts w:hint="eastAsia" w:ascii="宋体" w:hAnsi="宋体" w:eastAsia="宋体" w:cs="宋体"/>
          <w:b/>
          <w:sz w:val="24"/>
        </w:rPr>
        <w:t>（四）</w:t>
      </w:r>
      <w:r>
        <w:rPr>
          <w:rFonts w:hint="eastAsia" w:ascii="宋体" w:hAnsi="宋体" w:eastAsia="宋体" w:cs="宋体"/>
          <w:b/>
          <w:bCs/>
          <w:sz w:val="24"/>
        </w:rPr>
        <w:t>配套程序保障规则存在缺陷</w:t>
      </w:r>
    </w:p>
    <w:p w14:paraId="315D2559">
      <w:pPr>
        <w:spacing w:line="360" w:lineRule="auto"/>
        <w:ind w:firstLine="480" w:firstLineChars="200"/>
        <w:rPr>
          <w:rFonts w:ascii="宋体" w:hAnsi="宋体" w:eastAsia="宋体" w:cs="宋体"/>
          <w:bCs/>
          <w:sz w:val="24"/>
        </w:rPr>
      </w:pPr>
      <w:r>
        <w:rPr>
          <w:rFonts w:hint="eastAsia" w:ascii="宋体" w:hAnsi="宋体" w:eastAsia="宋体" w:cs="宋体"/>
          <w:bCs/>
          <w:sz w:val="24"/>
        </w:rPr>
        <w:t>商业秘密侵权惩罚性赔偿适用效率低的原因，除了上述所存在的诸多实体上规定的不足之外，还在举证责任以及证明标准等方面存在一些不合理之处，从而提升了惩罚性赔偿适用的难度。</w:t>
      </w:r>
    </w:p>
    <w:p w14:paraId="24B1AA81">
      <w:pPr>
        <w:spacing w:line="360" w:lineRule="auto"/>
        <w:ind w:firstLine="482" w:firstLineChars="200"/>
        <w:rPr>
          <w:rFonts w:ascii="宋体" w:hAnsi="宋体" w:eastAsia="宋体" w:cs="宋体"/>
          <w:sz w:val="24"/>
        </w:rPr>
      </w:pPr>
      <w:r>
        <w:rPr>
          <w:rFonts w:hint="eastAsia" w:ascii="宋体" w:hAnsi="宋体" w:eastAsia="宋体" w:cs="宋体"/>
          <w:b/>
          <w:bCs/>
          <w:sz w:val="24"/>
        </w:rPr>
        <w:t>1</w:t>
      </w:r>
      <w:r>
        <w:rPr>
          <w:rFonts w:ascii="宋体" w:hAnsi="宋体" w:eastAsia="宋体" w:cs="宋体"/>
          <w:b/>
          <w:bCs/>
          <w:sz w:val="24"/>
        </w:rPr>
        <w:t>.</w:t>
      </w:r>
      <w:r>
        <w:rPr>
          <w:rFonts w:hint="eastAsia" w:ascii="宋体" w:hAnsi="宋体" w:eastAsia="宋体" w:cs="宋体"/>
          <w:b/>
          <w:bCs/>
          <w:sz w:val="24"/>
        </w:rPr>
        <w:t>商业秘密侵权损害赔偿举证难。</w:t>
      </w:r>
      <w:r>
        <w:rPr>
          <w:rFonts w:ascii="宋体" w:hAnsi="宋体" w:eastAsia="宋体" w:cs="宋体"/>
          <w:sz w:val="24"/>
        </w:rPr>
        <w:t>“举证难”</w:t>
      </w:r>
      <w:r>
        <w:rPr>
          <w:rFonts w:hint="eastAsia" w:ascii="宋体" w:hAnsi="宋体" w:eastAsia="宋体" w:cs="宋体"/>
          <w:sz w:val="24"/>
        </w:rPr>
        <w:t>是</w:t>
      </w:r>
      <w:r>
        <w:rPr>
          <w:rFonts w:ascii="宋体" w:hAnsi="宋体" w:eastAsia="宋体" w:cs="宋体"/>
          <w:sz w:val="24"/>
        </w:rPr>
        <w:t>我国知识产权诉讼</w:t>
      </w:r>
      <w:r>
        <w:rPr>
          <w:rFonts w:hint="eastAsia" w:ascii="宋体" w:hAnsi="宋体" w:eastAsia="宋体" w:cs="宋体"/>
          <w:sz w:val="24"/>
        </w:rPr>
        <w:t>长期以来存在的问题，</w:t>
      </w:r>
      <w:r>
        <w:rPr>
          <w:rStyle w:val="10"/>
          <w:rFonts w:ascii="宋体" w:hAnsi="宋体" w:eastAsia="宋体" w:cs="宋体"/>
          <w:sz w:val="24"/>
        </w:rPr>
        <w:footnoteReference w:id="30"/>
      </w:r>
      <w:r>
        <w:rPr>
          <w:rFonts w:hint="eastAsia" w:ascii="宋体" w:hAnsi="宋体" w:eastAsia="宋体" w:cs="宋体"/>
          <w:sz w:val="24"/>
        </w:rPr>
        <w:t>在</w:t>
      </w:r>
      <w:r>
        <w:rPr>
          <w:rFonts w:ascii="宋体" w:hAnsi="宋体" w:eastAsia="宋体" w:cs="宋体"/>
          <w:sz w:val="24"/>
        </w:rPr>
        <w:t>商业秘密</w:t>
      </w:r>
      <w:r>
        <w:rPr>
          <w:rFonts w:hint="eastAsia" w:ascii="宋体" w:hAnsi="宋体" w:eastAsia="宋体" w:cs="宋体"/>
          <w:sz w:val="24"/>
        </w:rPr>
        <w:t>侵权案件</w:t>
      </w:r>
      <w:r>
        <w:rPr>
          <w:rFonts w:ascii="宋体" w:hAnsi="宋体" w:eastAsia="宋体" w:cs="宋体"/>
          <w:sz w:val="24"/>
        </w:rPr>
        <w:t>中</w:t>
      </w:r>
      <w:r>
        <w:rPr>
          <w:rFonts w:hint="eastAsia" w:ascii="宋体" w:hAnsi="宋体" w:eastAsia="宋体" w:cs="宋体"/>
          <w:sz w:val="24"/>
        </w:rPr>
        <w:t>也不例外。我国民事诉讼通常采取“谁主张，谁举证”的原则，对于权利人适用惩罚性赔偿的主张即由权利人进行举证。基于商业秘密的秘密性，权利人所受的实际损失及侵权人因侵权所获的利益通常难以准确查明，造成权利人的举证困难。一方面，权利人为保护商业秘密的不再泄露，在举证时也会选择有所保留，而导致证据不足。另一方面，立法上也未对相关证明标准作出明确规定，权利人提供的证据是否能证明侵权人“恶意”、侵权行为“情节严重”均依赖于法官的自由心证。在本文选取的12起案件样本中，有4起法院明确表示因证据不足而拒绝适用惩罚性赔偿制度。其余案件中，法院要么未给出理由而直接适用法定赔偿，要么是基于侵权行为发生时商业秘密侵权领域还未引进惩罚性赔偿制度的理由，也不能排除举证不足的可能性。</w:t>
      </w:r>
    </w:p>
    <w:p w14:paraId="5618B920">
      <w:pPr>
        <w:spacing w:line="360" w:lineRule="auto"/>
        <w:ind w:firstLine="482" w:firstLineChars="200"/>
        <w:rPr>
          <w:rFonts w:ascii="宋体" w:hAnsi="宋体" w:eastAsia="宋体" w:cs="宋体"/>
          <w:sz w:val="24"/>
        </w:rPr>
      </w:pPr>
      <w:r>
        <w:rPr>
          <w:rFonts w:hint="eastAsia" w:ascii="宋体" w:hAnsi="宋体" w:eastAsia="宋体" w:cs="宋体"/>
          <w:b/>
          <w:sz w:val="24"/>
        </w:rPr>
        <w:t>2</w:t>
      </w:r>
      <w:r>
        <w:rPr>
          <w:rFonts w:ascii="宋体" w:hAnsi="宋体" w:eastAsia="宋体" w:cs="宋体"/>
          <w:b/>
          <w:sz w:val="24"/>
        </w:rPr>
        <w:t>.</w:t>
      </w:r>
      <w:r>
        <w:rPr>
          <w:rFonts w:hint="eastAsia" w:ascii="宋体" w:hAnsi="宋体" w:eastAsia="宋体" w:cs="宋体"/>
          <w:b/>
          <w:sz w:val="24"/>
        </w:rPr>
        <w:t>证明标准不明确。</w:t>
      </w:r>
      <w:r>
        <w:rPr>
          <w:rFonts w:hint="eastAsia" w:ascii="宋体" w:hAnsi="宋体" w:eastAsia="宋体" w:cs="宋体"/>
          <w:sz w:val="24"/>
        </w:rPr>
        <w:t>根据现行立法的规定，只有恶意侵犯商业秘密且情节严重，以及能够证明损害赔偿数额，方能适用惩罚性赔偿。但不管是“谁主张谁举证”中原告对于惩罚性赔偿适用条件的证明，还是举证倒置中被告举证责任的完成，需要以什么标准作为举证责任完成认定，现行法在商业秘密侵权惩罚性赔偿制度中并没有做出明确规定。我国对商业秘密的法律保护有刑事、民事、行政三种制裁方式，三者的证明标准互不相同。例如，在商业秘密侵权的民事诉讼中，只需相关证据达到“高度盖然性”的标准，法院就会支持原告赔偿损失的诉请；</w:t>
      </w:r>
      <w:r>
        <w:rPr>
          <w:rStyle w:val="10"/>
          <w:rFonts w:hint="eastAsia" w:ascii="宋体" w:hAnsi="宋体" w:eastAsia="宋体" w:cs="宋体"/>
          <w:sz w:val="24"/>
        </w:rPr>
        <w:footnoteReference w:id="31"/>
      </w:r>
      <w:r>
        <w:rPr>
          <w:rFonts w:hint="eastAsia" w:ascii="宋体" w:hAnsi="宋体" w:eastAsia="宋体" w:cs="宋体"/>
          <w:sz w:val="24"/>
        </w:rPr>
        <w:t>相比之下，刑事诉讼对于证据认定的标准更为严苛。因而，在处理商业秘密侵权案件，尤其是刑民交叉等类型时，证明标准的不一致也增加了当事人举证及法官质证的难度。</w:t>
      </w:r>
    </w:p>
    <w:p w14:paraId="45037525">
      <w:pPr>
        <w:spacing w:line="360" w:lineRule="auto"/>
        <w:ind w:firstLine="482" w:firstLineChars="200"/>
        <w:rPr>
          <w:rFonts w:ascii="宋体" w:hAnsi="宋体" w:eastAsia="宋体" w:cs="宋体"/>
          <w:b/>
          <w:sz w:val="24"/>
        </w:rPr>
      </w:pPr>
      <w:r>
        <w:rPr>
          <w:rFonts w:hint="eastAsia" w:ascii="宋体" w:hAnsi="宋体" w:eastAsia="宋体" w:cs="宋体"/>
          <w:b/>
          <w:sz w:val="24"/>
        </w:rPr>
        <w:t>三、优化对策：商业秘密侵权惩罚性赔偿制度的完善建议</w:t>
      </w:r>
    </w:p>
    <w:p w14:paraId="4E744839">
      <w:pPr>
        <w:spacing w:line="360" w:lineRule="auto"/>
        <w:ind w:firstLine="480" w:firstLineChars="200"/>
        <w:rPr>
          <w:rFonts w:ascii="宋体" w:hAnsi="宋体" w:eastAsia="宋体" w:cs="宋体"/>
          <w:sz w:val="24"/>
        </w:rPr>
      </w:pPr>
      <w:r>
        <w:rPr>
          <w:rFonts w:hint="eastAsia" w:ascii="宋体" w:hAnsi="宋体" w:eastAsia="宋体" w:cs="宋体"/>
          <w:sz w:val="24"/>
        </w:rPr>
        <w:t>综上分析，商业秘密侵权惩罚性赔偿制度运行中出现惩罚性赔偿的诉请率、适用率、判赔支持率较低等现象，反映出商业秘密侵权惩罚性赔偿制度在立法和司法方面的缺陷，影响了制度立法初衷的实现。同时，这也反映出新制度在与现有法律环境融合过程中的适应性问题。需要进一步在立法层面，明确适用实体要件及健全配套程序保障机制；在司法层面改进赔偿数额的计算方式及确保法定赔偿与惩罚性赔偿协调适用，有效地引导惩罚性赔偿制度回归其设立的初衷，即对侵权行为进行有效的惩罚和威慑，保护权利人的合法权益。</w:t>
      </w:r>
    </w:p>
    <w:p w14:paraId="6F8C4A1C">
      <w:pPr>
        <w:numPr>
          <w:ilvl w:val="0"/>
          <w:numId w:val="2"/>
        </w:numPr>
        <w:spacing w:line="360" w:lineRule="auto"/>
        <w:ind w:left="420" w:leftChars="200"/>
        <w:rPr>
          <w:rFonts w:ascii="宋体" w:hAnsi="宋体" w:eastAsia="宋体" w:cs="宋体"/>
          <w:b/>
          <w:bCs/>
          <w:sz w:val="24"/>
        </w:rPr>
      </w:pPr>
      <w:r>
        <w:rPr>
          <w:rFonts w:hint="eastAsia" w:ascii="宋体" w:hAnsi="宋体" w:eastAsia="宋体" w:cs="宋体"/>
          <w:b/>
          <w:bCs/>
          <w:sz w:val="24"/>
        </w:rPr>
        <w:t>商业秘密侵权惩罚性赔偿制度立法改良</w:t>
      </w:r>
    </w:p>
    <w:p w14:paraId="4EB7AD88">
      <w:pPr>
        <w:numPr>
          <w:ilvl w:val="0"/>
          <w:numId w:val="3"/>
        </w:numPr>
        <w:spacing w:line="360" w:lineRule="auto"/>
        <w:ind w:firstLine="482" w:firstLineChars="200"/>
        <w:rPr>
          <w:rFonts w:ascii="宋体" w:hAnsi="宋体" w:eastAsia="宋体" w:cs="宋体"/>
          <w:b/>
          <w:bCs/>
          <w:sz w:val="24"/>
        </w:rPr>
      </w:pPr>
      <w:r>
        <w:rPr>
          <w:rFonts w:hint="eastAsia" w:ascii="宋体" w:hAnsi="宋体" w:eastAsia="宋体" w:cs="宋体"/>
          <w:b/>
          <w:bCs/>
          <w:sz w:val="24"/>
        </w:rPr>
        <w:t>厘清适用要件</w:t>
      </w:r>
    </w:p>
    <w:p w14:paraId="4CD9B791">
      <w:pPr>
        <w:spacing w:line="360" w:lineRule="auto"/>
        <w:ind w:firstLine="482" w:firstLineChars="200"/>
        <w:rPr>
          <w:rFonts w:ascii="宋体" w:hAnsi="宋体" w:eastAsia="宋体" w:cs="宋体"/>
          <w:sz w:val="24"/>
        </w:rPr>
      </w:pPr>
      <w:r>
        <w:rPr>
          <w:rFonts w:hint="eastAsia" w:ascii="宋体" w:hAnsi="宋体" w:eastAsia="宋体" w:cs="宋体"/>
          <w:b/>
          <w:sz w:val="24"/>
        </w:rPr>
        <w:t>（1）主观要限定为直接故意。</w:t>
      </w:r>
      <w:r>
        <w:rPr>
          <w:rFonts w:hint="eastAsia" w:ascii="宋体" w:hAnsi="宋体" w:eastAsia="宋体" w:cs="宋体"/>
          <w:sz w:val="24"/>
        </w:rPr>
        <w:t>就主观要件而言，“恶意”应与“直接故意”作一致解释。</w:t>
      </w:r>
      <w:r>
        <w:rPr>
          <w:rStyle w:val="10"/>
          <w:rFonts w:hint="eastAsia" w:ascii="宋体" w:hAnsi="宋体" w:eastAsia="宋体" w:cs="宋体"/>
          <w:sz w:val="24"/>
        </w:rPr>
        <w:footnoteReference w:id="32"/>
      </w:r>
      <w:r>
        <w:rPr>
          <w:rFonts w:hint="eastAsia" w:ascii="宋体" w:hAnsi="宋体" w:eastAsia="宋体" w:cs="宋体"/>
          <w:sz w:val="24"/>
        </w:rPr>
        <w:t>虽然部分学者主张恶意与故意应当明确区分，但《民法典》《司法解释》等将“恶意”与“故意”视为同一概念，表明了当前的主流立法趋势。在司法实践中，“恶意”通常被解释为“直接故意”，如样本（2021）最高法知民终2298号案件，侵权人尽管存在间接故意，但法院因非直接故意而拒绝适用惩罚性赔偿。我们认为，将“恶意”与“直接故意”作一致解释有助于实现惩罚性赔偿制度的目的，并保持法律的一致性。一方面，恶意的界定标准尚不明确，缺乏统一标准可能导致同案不同判，影响法律的权威性。另一方面，间接故意和重大过失不应被简单地等同于恶意。惩罚性赔偿制度的实施应遵循一致性和审慎性原则。对过失行为施加惩罚性赔偿可能过于严厉，有失公正。</w:t>
      </w:r>
    </w:p>
    <w:p w14:paraId="1B6366A0">
      <w:pPr>
        <w:spacing w:line="360" w:lineRule="auto"/>
        <w:ind w:firstLine="482" w:firstLineChars="200"/>
        <w:rPr>
          <w:rFonts w:ascii="宋体" w:hAnsi="宋体" w:eastAsia="宋体" w:cs="宋体"/>
          <w:sz w:val="24"/>
        </w:rPr>
      </w:pPr>
      <w:r>
        <w:rPr>
          <w:rFonts w:hint="eastAsia" w:ascii="宋体" w:hAnsi="宋体" w:eastAsia="宋体" w:cs="宋体"/>
          <w:b/>
          <w:sz w:val="24"/>
        </w:rPr>
        <w:t>（2）统一客观要件的认定标准。</w:t>
      </w:r>
      <w:r>
        <w:rPr>
          <w:rFonts w:hint="eastAsia" w:ascii="宋体" w:hAnsi="宋体" w:eastAsia="宋体" w:cs="宋体"/>
          <w:sz w:val="24"/>
        </w:rPr>
        <w:t>就客观要件而言，亟需明确统一的“情节严重”的认定标准且区分于主观要件“恶意”的认定。“情节严重”的判定应当综合考量“侵害他人权益”、“损害”和“因果关系”这三个损害赔偿责任构成要件的相关因素。</w:t>
      </w:r>
      <w:r>
        <w:rPr>
          <w:rStyle w:val="10"/>
          <w:rFonts w:hint="eastAsia" w:ascii="宋体" w:hAnsi="宋体" w:eastAsia="宋体" w:cs="宋体"/>
          <w:sz w:val="24"/>
        </w:rPr>
        <w:footnoteReference w:id="33"/>
      </w:r>
      <w:r>
        <w:rPr>
          <w:rFonts w:hint="eastAsia" w:ascii="宋体" w:hAnsi="宋体" w:eastAsia="宋体" w:cs="宋体"/>
          <w:sz w:val="24"/>
        </w:rPr>
        <w:t>商业秘密侵权案件除需要满足一般侵权行为的构成要件外，还须满足“故意”和“情节严重”这两个特殊的要件。其中，“故意”作为主观要件与侵权责任中的“过错”要素相对应，则“情节严重”的判定即与其余三要素相对应。具体而言，“情节严重”的判定应当综合考虑：侵权行为对权利人权益的侵害程度，包括商业秘密的商业价值、侵权行为对权利人市场竞争力的影响等；侵权行为造成的实际损害，包括经济损失、商誉损害等；侵权行为与损害结果之间的因果关系，即侵权行为是否是导致损害结果的直接原因。如最高法首例惩罚性赔偿案件“卡波案”中，最高法在充分考虑涉案技术秘密的贡献程度、侵权行为人的举证妨碍行为等后以顶格5倍计算适用惩罚性赔偿。</w:t>
      </w:r>
      <w:r>
        <w:rPr>
          <w:rStyle w:val="10"/>
          <w:rFonts w:hint="eastAsia" w:ascii="宋体" w:hAnsi="宋体" w:eastAsia="宋体" w:cs="宋体"/>
          <w:sz w:val="24"/>
        </w:rPr>
        <w:footnoteReference w:id="34"/>
      </w:r>
      <w:r>
        <w:rPr>
          <w:rFonts w:hint="eastAsia" w:ascii="宋体" w:hAnsi="宋体" w:eastAsia="宋体" w:cs="宋体"/>
          <w:sz w:val="24"/>
        </w:rPr>
        <w:t>采取此种认定标准，不仅能结合具体案件的实际情况来判定是否适用惩罚性赔偿，而且能够在主观要件与客观要件的判定上实现明确的区分。这种区分有助于提高法律适用的精确性和一致性，确保惩罚性赔偿制度的公正性和合理性。</w:t>
      </w:r>
    </w:p>
    <w:p w14:paraId="4667CBCD">
      <w:pPr>
        <w:numPr>
          <w:ilvl w:val="0"/>
          <w:numId w:val="3"/>
        </w:numPr>
        <w:spacing w:line="360" w:lineRule="auto"/>
        <w:ind w:firstLine="482" w:firstLineChars="200"/>
        <w:rPr>
          <w:rFonts w:ascii="宋体" w:hAnsi="宋体" w:eastAsia="宋体" w:cs="宋体"/>
          <w:b/>
          <w:bCs/>
          <w:sz w:val="24"/>
        </w:rPr>
      </w:pPr>
      <w:r>
        <w:rPr>
          <w:rFonts w:hint="eastAsia" w:ascii="宋体" w:hAnsi="宋体" w:eastAsia="宋体" w:cs="宋体"/>
          <w:b/>
          <w:bCs/>
          <w:sz w:val="24"/>
        </w:rPr>
        <w:t>健全配套程序保障机制</w:t>
      </w:r>
    </w:p>
    <w:p w14:paraId="5BE7C7A9">
      <w:pPr>
        <w:spacing w:line="360" w:lineRule="auto"/>
        <w:ind w:firstLine="482" w:firstLineChars="200"/>
        <w:rPr>
          <w:rFonts w:ascii="宋体" w:hAnsi="宋体" w:eastAsia="宋体" w:cs="宋体"/>
          <w:b/>
          <w:bCs/>
          <w:sz w:val="24"/>
        </w:rPr>
      </w:pPr>
      <w:r>
        <w:rPr>
          <w:rFonts w:hint="eastAsia" w:ascii="宋体" w:hAnsi="宋体" w:eastAsia="宋体" w:cs="宋体"/>
          <w:b/>
          <w:sz w:val="24"/>
        </w:rPr>
        <w:t>（1）调整举证责任。</w:t>
      </w:r>
      <w:r>
        <w:rPr>
          <w:rFonts w:hint="eastAsia" w:ascii="宋体" w:hAnsi="宋体" w:eastAsia="宋体" w:cs="宋体"/>
          <w:sz w:val="24"/>
        </w:rPr>
        <w:t>为缓解权利人举证的压力，解决“举证难”的问题。《反不正当竞争法》第3</w:t>
      </w:r>
      <w:r>
        <w:rPr>
          <w:rFonts w:ascii="宋体" w:hAnsi="宋体" w:eastAsia="宋体" w:cs="宋体"/>
          <w:sz w:val="24"/>
        </w:rPr>
        <w:t>2</w:t>
      </w:r>
      <w:r>
        <w:rPr>
          <w:rFonts w:hint="eastAsia" w:ascii="宋体" w:hAnsi="宋体" w:eastAsia="宋体" w:cs="宋体"/>
          <w:sz w:val="24"/>
        </w:rPr>
        <w:t>条及《知识产权侵权惩罚性赔偿解释》第2</w:t>
      </w:r>
      <w:r>
        <w:rPr>
          <w:rFonts w:ascii="宋体" w:hAnsi="宋体" w:eastAsia="宋体" w:cs="宋体"/>
          <w:sz w:val="24"/>
        </w:rPr>
        <w:t>4</w:t>
      </w:r>
      <w:r>
        <w:rPr>
          <w:rFonts w:hint="eastAsia" w:ascii="宋体" w:hAnsi="宋体" w:eastAsia="宋体" w:cs="宋体"/>
          <w:sz w:val="24"/>
        </w:rPr>
        <w:t>条规定，权利人在初步举证证明涉案信息为商业秘密、涉案行为是侵犯商业秘密的行为后，举证责任即转移给侵权人。在原告已经尽其所能进行举证，而侵权行为相关的账簿、资料等关键证据由被告掌握，导致赔偿数额难以确定的情况下，人民法院有权责令被告提供相关证据。若被告无正当理由拒绝提供或提供虚假证据材料，法院可以参照原告主张的赔偿数额进行判决。就此可借鉴美国及台湾地区民事诉讼程序中的证据开示制度。该制度的核心原则是无论掌握事实材料的是诉讼当事人还是第三人，均有义务向对方当事人披露其掌握的与案件有关的事实材料，除非法律有特别规定，禁止私藏或毁灭这些材料。引入证据开示制度至审前程序，能够实现充分的证据交换，也对当事人隐匿证据、妨碍举证等行为形成有效的威慑，从而进一步减轻权利人的举证负担，有效保障权利人的权利救济。</w:t>
      </w:r>
    </w:p>
    <w:p w14:paraId="0D05484E">
      <w:pPr>
        <w:spacing w:line="360" w:lineRule="auto"/>
        <w:ind w:firstLine="482" w:firstLineChars="200"/>
        <w:rPr>
          <w:rFonts w:ascii="宋体" w:hAnsi="宋体" w:eastAsia="宋体" w:cs="宋体"/>
          <w:b/>
          <w:bCs/>
          <w:sz w:val="24"/>
        </w:rPr>
      </w:pPr>
      <w:r>
        <w:rPr>
          <w:rFonts w:hint="eastAsia" w:ascii="宋体" w:hAnsi="宋体" w:eastAsia="宋体" w:cs="宋体"/>
          <w:b/>
          <w:sz w:val="24"/>
        </w:rPr>
        <w:t>（2）采用“明确直接”的证据标准。</w:t>
      </w:r>
      <w:r>
        <w:rPr>
          <w:rFonts w:hint="eastAsia" w:ascii="宋体" w:hAnsi="宋体" w:eastAsia="宋体" w:cs="宋体"/>
          <w:sz w:val="24"/>
        </w:rPr>
        <w:t>关于证明标准不清晰、不统一的问题，对于是否适用惩罚性赔偿，宜采用“明确直接”的证据标准。这是一种介于民事诉讼的“高度盖然性”与刑事诉讼的“排除合理怀疑”之间的证据标准。</w:t>
      </w:r>
      <w:r>
        <w:rPr>
          <w:rStyle w:val="10"/>
          <w:rFonts w:hint="eastAsia" w:ascii="宋体" w:hAnsi="宋体" w:eastAsia="宋体" w:cs="宋体"/>
          <w:sz w:val="24"/>
        </w:rPr>
        <w:footnoteReference w:id="35"/>
      </w:r>
      <w:r>
        <w:rPr>
          <w:rFonts w:hint="eastAsia" w:ascii="宋体" w:hAnsi="宋体" w:eastAsia="宋体" w:cs="宋体"/>
          <w:sz w:val="24"/>
        </w:rPr>
        <w:t>此标准要求在具体案件中，必须有确凿且直接的证据证明被告的行为符合惩罚性赔偿的法定条件。在侵犯商业秘密纠纷的惩罚性赔偿适用的司法实践中运用此标准，不仅可以统一法官评判证据是否充足的标准，使其对于是否适用的说理更加完备，也能为刑民交叉的侵犯商业秘密纠纷案件在适用惩罚性赔偿方面提供清晰的证明标准，减少因证明标准不一而导致的同案不同判的情况。</w:t>
      </w:r>
    </w:p>
    <w:p w14:paraId="146519B0">
      <w:pPr>
        <w:numPr>
          <w:ilvl w:val="0"/>
          <w:numId w:val="2"/>
        </w:numPr>
        <w:spacing w:line="360" w:lineRule="auto"/>
        <w:ind w:left="420" w:leftChars="200"/>
        <w:rPr>
          <w:rFonts w:ascii="宋体" w:hAnsi="宋体" w:eastAsia="宋体" w:cs="宋体"/>
          <w:b/>
          <w:bCs/>
          <w:sz w:val="24"/>
        </w:rPr>
      </w:pPr>
      <w:r>
        <w:rPr>
          <w:rFonts w:hint="eastAsia" w:ascii="宋体" w:hAnsi="宋体" w:eastAsia="宋体" w:cs="宋体"/>
          <w:b/>
          <w:bCs/>
          <w:sz w:val="24"/>
        </w:rPr>
        <w:t>商业秘密侵权惩罚性赔偿数额计算完善</w:t>
      </w:r>
    </w:p>
    <w:p w14:paraId="5009AFA1">
      <w:pPr>
        <w:numPr>
          <w:ilvl w:val="0"/>
          <w:numId w:val="4"/>
        </w:numPr>
        <w:spacing w:line="360" w:lineRule="auto"/>
        <w:ind w:firstLine="482" w:firstLineChars="200"/>
        <w:rPr>
          <w:rFonts w:ascii="宋体" w:hAnsi="宋体" w:eastAsia="宋体" w:cs="宋体"/>
          <w:b/>
          <w:bCs/>
          <w:sz w:val="24"/>
        </w:rPr>
      </w:pPr>
      <w:r>
        <w:rPr>
          <w:rFonts w:hint="eastAsia" w:ascii="宋体" w:hAnsi="宋体" w:eastAsia="宋体" w:cs="宋体"/>
          <w:b/>
          <w:bCs/>
          <w:sz w:val="24"/>
        </w:rPr>
        <w:t>改进赔偿数额的计算方式</w:t>
      </w:r>
    </w:p>
    <w:p w14:paraId="44E774EA">
      <w:pPr>
        <w:spacing w:line="360" w:lineRule="auto"/>
        <w:ind w:firstLine="241" w:firstLineChars="100"/>
        <w:rPr>
          <w:rFonts w:ascii="宋体" w:hAnsi="宋体" w:eastAsia="宋体" w:cs="宋体"/>
          <w:sz w:val="24"/>
        </w:rPr>
      </w:pPr>
      <w:r>
        <w:rPr>
          <w:rFonts w:hint="eastAsia" w:ascii="宋体" w:hAnsi="宋体" w:eastAsia="宋体" w:cs="宋体"/>
          <w:b/>
          <w:sz w:val="24"/>
        </w:rPr>
        <w:t>（1）改正赔偿数额的基数确定方式。</w:t>
      </w:r>
      <w:r>
        <w:rPr>
          <w:rFonts w:hint="eastAsia" w:ascii="宋体" w:hAnsi="宋体" w:eastAsia="宋体" w:cs="宋体"/>
          <w:sz w:val="24"/>
        </w:rPr>
        <w:t xml:space="preserve">法院通常以参照权利人的实际损失或侵权人因侵权所获的利益为基准，一旦二者难以查明，法院即以赔偿数额基数难以计算为由拒绝适用惩罚性赔偿。基于此，笔者认为可以考虑参照《专利法》《商标法》的相关规定，将合理许可费引入赔偿数额的计算中。在商业秘密侵权案件面临实际损失和侵权获利难以计算或证明的困境时，合理许可费为法官提供了更广阔的自由裁量空间。通过综合考量商业秘密的市场价值、潜在许可收入等因素，合理许可费能够更有效地弥补权利人因侵权行为而遭受的损失，实现对权利人合法权益的充分保护。域外法为我们提供了相关经验，打破现有次序限制，赋予权利人更大的自主选择权。例如美国法律即允许权利人根据自身情况及举证难度，选择以实际损失或违法所得作为赔偿基数，甚至在特定情况下允许两者并用。这种制度设计不仅能够最大限度地保护权利人的合法权益，而且体现了对当事人意思自治原则的维护，从而使得商业秘密惩罚性赔偿制度更加完善。 </w:t>
      </w:r>
    </w:p>
    <w:p w14:paraId="76A0E6BF">
      <w:pPr>
        <w:spacing w:line="360" w:lineRule="auto"/>
        <w:ind w:firstLine="482" w:firstLineChars="200"/>
        <w:rPr>
          <w:rFonts w:ascii="宋体" w:hAnsi="宋体" w:eastAsia="宋体" w:cs="宋体"/>
          <w:sz w:val="24"/>
        </w:rPr>
      </w:pPr>
      <w:r>
        <w:rPr>
          <w:rFonts w:hint="eastAsia" w:ascii="宋体" w:hAnsi="宋体" w:eastAsia="宋体" w:cs="宋体"/>
          <w:b/>
          <w:bCs/>
          <w:sz w:val="24"/>
        </w:rPr>
        <w:t>（2）精准确定惩罚性赔偿的倍数。</w:t>
      </w:r>
      <w:r>
        <w:rPr>
          <w:rFonts w:hint="eastAsia" w:ascii="宋体" w:hAnsi="宋体" w:eastAsia="宋体" w:cs="宋体"/>
          <w:sz w:val="24"/>
        </w:rPr>
        <w:t>就商业秘密惩罚性赔偿数额的确定而言，“倍数”的设定对于实现惩罚、威慑和遏制侵权行为的功能具有至关重要的作用。根据《司法解释》第六条的规定，人民法院在确定惩罚性赔偿的倍数时，需要综合考虑多种因素，如侵权行为的性质、情节、后果，以及侵权人的主观恶意程度等。换言之，在审判相关案件时，法院应当按照个案的具体情况进行综合判定。然而，实践中法院对于倍数的确定往往并不会给出清楚的理由且法官的自由裁量空间过大。在上文提到的“卡波案”，一审法院将惩罚倍数确定为2.5倍，而最高法直接改判为5倍，二者的差异性显著。因此，在商业秘密侵权案件的惩罚性赔偿适用中，笔者以比例原则为基础，根据样本及以往案例中侵权人主观过错与客观情节，借鉴相关学者的方式调整制定惩罚赔偿倍数对应关系表（如下表4-1）。</w:t>
      </w:r>
      <w:r>
        <w:rPr>
          <w:rStyle w:val="10"/>
          <w:rFonts w:hint="eastAsia" w:ascii="宋体" w:hAnsi="宋体" w:eastAsia="宋体" w:cs="宋体"/>
          <w:sz w:val="24"/>
        </w:rPr>
        <w:footnoteReference w:id="36"/>
      </w:r>
    </w:p>
    <w:p w14:paraId="73D80CB5">
      <w:pPr>
        <w:spacing w:line="360" w:lineRule="auto"/>
        <w:ind w:left="420" w:leftChars="200"/>
        <w:jc w:val="center"/>
        <w:rPr>
          <w:rFonts w:ascii="宋体" w:hAnsi="宋体" w:eastAsia="宋体" w:cs="宋体"/>
          <w:b/>
          <w:bCs/>
          <w:szCs w:val="21"/>
        </w:rPr>
      </w:pPr>
      <w:r>
        <w:rPr>
          <w:rFonts w:hint="eastAsia" w:ascii="宋体" w:hAnsi="宋体" w:eastAsia="宋体" w:cs="宋体"/>
          <w:b/>
          <w:bCs/>
          <w:szCs w:val="21"/>
        </w:rPr>
        <w:t>表4-1 惩罚赔偿倍数对应关系表</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1"/>
        <w:gridCol w:w="1325"/>
        <w:gridCol w:w="4279"/>
        <w:gridCol w:w="1707"/>
      </w:tblGrid>
      <w:tr w14:paraId="62E3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8" w:type="pct"/>
            <w:gridSpan w:val="3"/>
            <w:vAlign w:val="center"/>
          </w:tcPr>
          <w:p w14:paraId="6DF85C1E">
            <w:pPr>
              <w:spacing w:line="360" w:lineRule="auto"/>
              <w:jc w:val="center"/>
              <w:rPr>
                <w:rFonts w:ascii="宋体" w:hAnsi="宋体" w:eastAsia="宋体" w:cs="宋体"/>
                <w:szCs w:val="21"/>
              </w:rPr>
            </w:pPr>
            <w:r>
              <w:rPr>
                <w:rFonts w:hint="eastAsia" w:ascii="宋体" w:hAnsi="宋体" w:eastAsia="宋体" w:cs="宋体"/>
                <w:szCs w:val="21"/>
              </w:rPr>
              <w:t>考量因素</w:t>
            </w:r>
          </w:p>
        </w:tc>
        <w:tc>
          <w:tcPr>
            <w:tcW w:w="1001" w:type="pct"/>
            <w:vAlign w:val="center"/>
          </w:tcPr>
          <w:p w14:paraId="5B8C6B86">
            <w:pPr>
              <w:spacing w:line="360" w:lineRule="auto"/>
              <w:jc w:val="center"/>
              <w:rPr>
                <w:rFonts w:ascii="宋体" w:hAnsi="宋体" w:eastAsia="宋体" w:cs="宋体"/>
                <w:szCs w:val="21"/>
              </w:rPr>
            </w:pPr>
            <w:r>
              <w:rPr>
                <w:rFonts w:hint="eastAsia" w:ascii="宋体" w:hAnsi="宋体" w:eastAsia="宋体" w:cs="宋体"/>
                <w:szCs w:val="21"/>
              </w:rPr>
              <w:t>倍数</w:t>
            </w:r>
          </w:p>
        </w:tc>
      </w:tr>
      <w:tr w14:paraId="2412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restart"/>
            <w:vAlign w:val="center"/>
          </w:tcPr>
          <w:p w14:paraId="2D2C6360">
            <w:pPr>
              <w:spacing w:line="360" w:lineRule="auto"/>
              <w:jc w:val="center"/>
              <w:rPr>
                <w:rFonts w:ascii="宋体" w:hAnsi="宋体" w:eastAsia="宋体" w:cs="宋体"/>
                <w:szCs w:val="21"/>
              </w:rPr>
            </w:pPr>
            <w:r>
              <w:rPr>
                <w:rFonts w:hint="eastAsia" w:ascii="宋体" w:hAnsi="宋体" w:eastAsia="宋体" w:cs="宋体"/>
                <w:szCs w:val="21"/>
              </w:rPr>
              <w:t>主观过错</w:t>
            </w:r>
          </w:p>
        </w:tc>
        <w:tc>
          <w:tcPr>
            <w:tcW w:w="777" w:type="pct"/>
            <w:vMerge w:val="restart"/>
            <w:vAlign w:val="center"/>
          </w:tcPr>
          <w:p w14:paraId="1657D86D">
            <w:pPr>
              <w:spacing w:line="360" w:lineRule="auto"/>
              <w:jc w:val="center"/>
              <w:rPr>
                <w:rFonts w:ascii="宋体" w:hAnsi="宋体" w:eastAsia="宋体" w:cs="宋体"/>
                <w:szCs w:val="21"/>
              </w:rPr>
            </w:pPr>
            <w:r>
              <w:rPr>
                <w:rFonts w:hint="eastAsia" w:ascii="宋体" w:hAnsi="宋体" w:eastAsia="宋体" w:cs="宋体"/>
                <w:szCs w:val="21"/>
              </w:rPr>
              <w:t>侵权人明知故犯</w:t>
            </w:r>
          </w:p>
        </w:tc>
        <w:tc>
          <w:tcPr>
            <w:tcW w:w="2509" w:type="pct"/>
            <w:vAlign w:val="center"/>
          </w:tcPr>
          <w:p w14:paraId="588083F1">
            <w:pPr>
              <w:spacing w:line="360" w:lineRule="auto"/>
              <w:jc w:val="center"/>
              <w:rPr>
                <w:rFonts w:ascii="宋体" w:hAnsi="宋体" w:eastAsia="宋体" w:cs="宋体"/>
                <w:szCs w:val="21"/>
              </w:rPr>
            </w:pPr>
            <w:r>
              <w:rPr>
                <w:rFonts w:ascii="宋体" w:hAnsi="宋体" w:eastAsia="宋体" w:cs="宋体"/>
                <w:szCs w:val="21"/>
              </w:rPr>
              <w:t>侵权人与权利人之间有合同关系或劳动关系</w:t>
            </w:r>
          </w:p>
        </w:tc>
        <w:tc>
          <w:tcPr>
            <w:tcW w:w="1001" w:type="pct"/>
            <w:vMerge w:val="restart"/>
            <w:vAlign w:val="center"/>
          </w:tcPr>
          <w:p w14:paraId="7684508C">
            <w:pPr>
              <w:spacing w:line="360" w:lineRule="auto"/>
              <w:jc w:val="center"/>
              <w:rPr>
                <w:rFonts w:ascii="宋体" w:hAnsi="宋体" w:eastAsia="宋体" w:cs="宋体"/>
                <w:szCs w:val="21"/>
              </w:rPr>
            </w:pPr>
            <w:r>
              <w:rPr>
                <w:rFonts w:hint="eastAsia" w:ascii="宋体" w:hAnsi="宋体" w:eastAsia="宋体" w:cs="宋体"/>
                <w:szCs w:val="21"/>
              </w:rPr>
              <w:t>法官自由裁量0.5-1倍</w:t>
            </w:r>
          </w:p>
        </w:tc>
      </w:tr>
      <w:tr w14:paraId="187E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233E8561">
            <w:pPr>
              <w:spacing w:line="360" w:lineRule="auto"/>
              <w:jc w:val="center"/>
              <w:rPr>
                <w:rFonts w:ascii="宋体" w:hAnsi="宋体" w:eastAsia="宋体" w:cs="宋体"/>
                <w:szCs w:val="21"/>
              </w:rPr>
            </w:pPr>
          </w:p>
        </w:tc>
        <w:tc>
          <w:tcPr>
            <w:tcW w:w="777" w:type="pct"/>
            <w:vMerge w:val="continue"/>
            <w:vAlign w:val="center"/>
          </w:tcPr>
          <w:p w14:paraId="3B2D685F">
            <w:pPr>
              <w:spacing w:line="360" w:lineRule="auto"/>
              <w:jc w:val="center"/>
              <w:rPr>
                <w:rFonts w:ascii="宋体" w:hAnsi="宋体" w:eastAsia="宋体" w:cs="宋体"/>
                <w:szCs w:val="21"/>
              </w:rPr>
            </w:pPr>
          </w:p>
        </w:tc>
        <w:tc>
          <w:tcPr>
            <w:tcW w:w="2509" w:type="pct"/>
            <w:vAlign w:val="center"/>
          </w:tcPr>
          <w:p w14:paraId="5997E5E4">
            <w:pPr>
              <w:spacing w:line="360" w:lineRule="auto"/>
              <w:jc w:val="center"/>
              <w:rPr>
                <w:rFonts w:ascii="宋体" w:hAnsi="宋体" w:eastAsia="宋体" w:cs="宋体"/>
                <w:szCs w:val="21"/>
              </w:rPr>
            </w:pPr>
            <w:r>
              <w:rPr>
                <w:rFonts w:ascii="宋体" w:hAnsi="宋体" w:eastAsia="宋体" w:cs="宋体"/>
                <w:szCs w:val="21"/>
              </w:rPr>
              <w:t>受到权利人警告仍继续侵权</w:t>
            </w:r>
          </w:p>
        </w:tc>
        <w:tc>
          <w:tcPr>
            <w:tcW w:w="1001" w:type="pct"/>
            <w:vMerge w:val="continue"/>
            <w:vAlign w:val="center"/>
          </w:tcPr>
          <w:p w14:paraId="2B2C2626">
            <w:pPr>
              <w:spacing w:line="360" w:lineRule="auto"/>
              <w:jc w:val="center"/>
              <w:rPr>
                <w:rFonts w:ascii="宋体" w:hAnsi="宋体" w:eastAsia="宋体" w:cs="宋体"/>
                <w:szCs w:val="21"/>
              </w:rPr>
            </w:pPr>
          </w:p>
        </w:tc>
      </w:tr>
      <w:tr w14:paraId="6F31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67E584F6">
            <w:pPr>
              <w:spacing w:line="360" w:lineRule="auto"/>
              <w:jc w:val="center"/>
              <w:rPr>
                <w:rFonts w:ascii="宋体" w:hAnsi="宋体" w:eastAsia="宋体" w:cs="宋体"/>
                <w:szCs w:val="21"/>
              </w:rPr>
            </w:pPr>
          </w:p>
        </w:tc>
        <w:tc>
          <w:tcPr>
            <w:tcW w:w="777" w:type="pct"/>
            <w:vMerge w:val="restart"/>
            <w:vAlign w:val="center"/>
          </w:tcPr>
          <w:p w14:paraId="1FF6FA2C">
            <w:pPr>
              <w:spacing w:line="360" w:lineRule="auto"/>
              <w:jc w:val="center"/>
              <w:rPr>
                <w:rFonts w:ascii="宋体" w:hAnsi="宋体" w:eastAsia="宋体" w:cs="宋体"/>
                <w:szCs w:val="21"/>
              </w:rPr>
            </w:pPr>
            <w:r>
              <w:rPr>
                <w:rFonts w:hint="eastAsia" w:ascii="宋体" w:hAnsi="宋体" w:eastAsia="宋体" w:cs="宋体"/>
                <w:szCs w:val="21"/>
              </w:rPr>
              <w:t>侵权人反复侵权</w:t>
            </w:r>
          </w:p>
        </w:tc>
        <w:tc>
          <w:tcPr>
            <w:tcW w:w="2509" w:type="pct"/>
            <w:vAlign w:val="center"/>
          </w:tcPr>
          <w:p w14:paraId="35AC6EAE">
            <w:pPr>
              <w:spacing w:line="360" w:lineRule="auto"/>
              <w:jc w:val="center"/>
              <w:rPr>
                <w:rFonts w:ascii="宋体" w:hAnsi="宋体" w:eastAsia="宋体" w:cs="宋体"/>
                <w:szCs w:val="21"/>
              </w:rPr>
            </w:pPr>
            <w:r>
              <w:rPr>
                <w:rFonts w:ascii="宋体" w:hAnsi="宋体" w:eastAsia="宋体" w:cs="宋体"/>
                <w:szCs w:val="21"/>
              </w:rPr>
              <w:t>侵权人已受到行政处罚</w:t>
            </w:r>
          </w:p>
        </w:tc>
        <w:tc>
          <w:tcPr>
            <w:tcW w:w="1001" w:type="pct"/>
            <w:vAlign w:val="center"/>
          </w:tcPr>
          <w:p w14:paraId="61528404">
            <w:pPr>
              <w:spacing w:line="360" w:lineRule="auto"/>
              <w:jc w:val="center"/>
              <w:rPr>
                <w:rFonts w:ascii="宋体" w:hAnsi="宋体" w:eastAsia="宋体" w:cs="宋体"/>
                <w:szCs w:val="21"/>
              </w:rPr>
            </w:pPr>
            <w:r>
              <w:rPr>
                <w:rFonts w:hint="eastAsia" w:ascii="宋体" w:hAnsi="宋体" w:eastAsia="宋体" w:cs="宋体"/>
                <w:szCs w:val="21"/>
              </w:rPr>
              <w:t>1</w:t>
            </w:r>
          </w:p>
        </w:tc>
      </w:tr>
      <w:tr w14:paraId="35EA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70AC3696">
            <w:pPr>
              <w:spacing w:line="360" w:lineRule="auto"/>
              <w:jc w:val="center"/>
              <w:rPr>
                <w:rFonts w:ascii="宋体" w:hAnsi="宋体" w:eastAsia="宋体" w:cs="宋体"/>
                <w:szCs w:val="21"/>
              </w:rPr>
            </w:pPr>
          </w:p>
        </w:tc>
        <w:tc>
          <w:tcPr>
            <w:tcW w:w="777" w:type="pct"/>
            <w:vMerge w:val="continue"/>
            <w:vAlign w:val="center"/>
          </w:tcPr>
          <w:p w14:paraId="19617668">
            <w:pPr>
              <w:spacing w:line="360" w:lineRule="auto"/>
              <w:jc w:val="center"/>
              <w:rPr>
                <w:rFonts w:ascii="宋体" w:hAnsi="宋体" w:eastAsia="宋体" w:cs="宋体"/>
                <w:szCs w:val="21"/>
              </w:rPr>
            </w:pPr>
          </w:p>
        </w:tc>
        <w:tc>
          <w:tcPr>
            <w:tcW w:w="2509" w:type="pct"/>
            <w:vAlign w:val="center"/>
          </w:tcPr>
          <w:p w14:paraId="03E5B593">
            <w:pPr>
              <w:spacing w:line="360" w:lineRule="auto"/>
              <w:jc w:val="center"/>
              <w:rPr>
                <w:rFonts w:ascii="宋体" w:hAnsi="宋体" w:eastAsia="宋体" w:cs="宋体"/>
                <w:szCs w:val="21"/>
              </w:rPr>
            </w:pPr>
            <w:r>
              <w:rPr>
                <w:rFonts w:ascii="宋体" w:hAnsi="宋体" w:eastAsia="宋体" w:cs="宋体"/>
                <w:szCs w:val="21"/>
              </w:rPr>
              <w:t>侵权人已获刑事判决</w:t>
            </w:r>
          </w:p>
        </w:tc>
        <w:tc>
          <w:tcPr>
            <w:tcW w:w="1001" w:type="pct"/>
            <w:vAlign w:val="center"/>
          </w:tcPr>
          <w:p w14:paraId="7437EC04">
            <w:pPr>
              <w:spacing w:line="360" w:lineRule="auto"/>
              <w:jc w:val="center"/>
              <w:rPr>
                <w:rFonts w:ascii="宋体" w:hAnsi="宋体" w:eastAsia="宋体" w:cs="宋体"/>
                <w:szCs w:val="21"/>
              </w:rPr>
            </w:pPr>
            <w:r>
              <w:rPr>
                <w:rFonts w:hint="eastAsia" w:ascii="宋体" w:hAnsi="宋体" w:eastAsia="宋体" w:cs="宋体"/>
                <w:szCs w:val="21"/>
              </w:rPr>
              <w:t>1.5</w:t>
            </w:r>
          </w:p>
        </w:tc>
      </w:tr>
      <w:tr w14:paraId="475F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7B47815A">
            <w:pPr>
              <w:spacing w:line="360" w:lineRule="auto"/>
              <w:jc w:val="center"/>
              <w:rPr>
                <w:rFonts w:ascii="宋体" w:hAnsi="宋体" w:eastAsia="宋体" w:cs="宋体"/>
                <w:szCs w:val="21"/>
              </w:rPr>
            </w:pPr>
          </w:p>
        </w:tc>
        <w:tc>
          <w:tcPr>
            <w:tcW w:w="777" w:type="pct"/>
            <w:vMerge w:val="restart"/>
            <w:vAlign w:val="center"/>
          </w:tcPr>
          <w:p w14:paraId="567252C3">
            <w:pPr>
              <w:spacing w:line="360" w:lineRule="auto"/>
              <w:jc w:val="center"/>
              <w:rPr>
                <w:rFonts w:ascii="宋体" w:hAnsi="宋体" w:eastAsia="宋体" w:cs="宋体"/>
                <w:szCs w:val="21"/>
              </w:rPr>
            </w:pPr>
            <w:r>
              <w:rPr>
                <w:rFonts w:hint="eastAsia" w:ascii="宋体" w:hAnsi="宋体" w:eastAsia="宋体" w:cs="宋体"/>
                <w:szCs w:val="21"/>
              </w:rPr>
              <w:t>客体的知名程度</w:t>
            </w:r>
          </w:p>
        </w:tc>
        <w:tc>
          <w:tcPr>
            <w:tcW w:w="2509" w:type="pct"/>
            <w:vAlign w:val="center"/>
          </w:tcPr>
          <w:p w14:paraId="43E606A2">
            <w:pPr>
              <w:spacing w:line="360" w:lineRule="auto"/>
              <w:jc w:val="center"/>
              <w:rPr>
                <w:rFonts w:ascii="宋体" w:hAnsi="宋体" w:eastAsia="宋体" w:cs="宋体"/>
                <w:szCs w:val="21"/>
              </w:rPr>
            </w:pPr>
            <w:r>
              <w:rPr>
                <w:rFonts w:hint="eastAsia" w:ascii="宋体" w:hAnsi="宋体" w:eastAsia="宋体" w:cs="宋体"/>
                <w:szCs w:val="21"/>
              </w:rPr>
              <w:t>省内知名</w:t>
            </w:r>
          </w:p>
        </w:tc>
        <w:tc>
          <w:tcPr>
            <w:tcW w:w="1001" w:type="pct"/>
            <w:vAlign w:val="center"/>
          </w:tcPr>
          <w:p w14:paraId="324D76FA">
            <w:pPr>
              <w:spacing w:line="360" w:lineRule="auto"/>
              <w:jc w:val="center"/>
              <w:rPr>
                <w:rFonts w:ascii="宋体" w:hAnsi="宋体" w:eastAsia="宋体" w:cs="宋体"/>
                <w:szCs w:val="21"/>
              </w:rPr>
            </w:pPr>
            <w:r>
              <w:rPr>
                <w:rFonts w:hint="eastAsia" w:ascii="宋体" w:hAnsi="宋体" w:eastAsia="宋体" w:cs="宋体"/>
                <w:szCs w:val="21"/>
              </w:rPr>
              <w:t>0.5</w:t>
            </w:r>
          </w:p>
        </w:tc>
      </w:tr>
      <w:tr w14:paraId="77E3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050933C0">
            <w:pPr>
              <w:spacing w:line="360" w:lineRule="auto"/>
              <w:jc w:val="center"/>
              <w:rPr>
                <w:rFonts w:ascii="宋体" w:hAnsi="宋体" w:eastAsia="宋体" w:cs="宋体"/>
                <w:szCs w:val="21"/>
              </w:rPr>
            </w:pPr>
          </w:p>
        </w:tc>
        <w:tc>
          <w:tcPr>
            <w:tcW w:w="777" w:type="pct"/>
            <w:vMerge w:val="continue"/>
            <w:vAlign w:val="center"/>
          </w:tcPr>
          <w:p w14:paraId="3B85A2CA">
            <w:pPr>
              <w:spacing w:line="360" w:lineRule="auto"/>
              <w:jc w:val="center"/>
              <w:rPr>
                <w:rFonts w:ascii="宋体" w:hAnsi="宋体" w:eastAsia="宋体" w:cs="宋体"/>
                <w:szCs w:val="21"/>
              </w:rPr>
            </w:pPr>
          </w:p>
        </w:tc>
        <w:tc>
          <w:tcPr>
            <w:tcW w:w="2509" w:type="pct"/>
            <w:vAlign w:val="center"/>
          </w:tcPr>
          <w:p w14:paraId="5AF42162">
            <w:pPr>
              <w:spacing w:line="360" w:lineRule="auto"/>
              <w:jc w:val="center"/>
              <w:rPr>
                <w:rFonts w:ascii="宋体" w:hAnsi="宋体" w:eastAsia="宋体" w:cs="宋体"/>
                <w:szCs w:val="21"/>
              </w:rPr>
            </w:pPr>
            <w:r>
              <w:rPr>
                <w:rFonts w:hint="eastAsia" w:ascii="宋体" w:hAnsi="宋体" w:eastAsia="宋体" w:cs="宋体"/>
                <w:szCs w:val="21"/>
              </w:rPr>
              <w:t>全国知名</w:t>
            </w:r>
          </w:p>
        </w:tc>
        <w:tc>
          <w:tcPr>
            <w:tcW w:w="1001" w:type="pct"/>
            <w:vAlign w:val="center"/>
          </w:tcPr>
          <w:p w14:paraId="54D853E0">
            <w:pPr>
              <w:spacing w:line="360" w:lineRule="auto"/>
              <w:jc w:val="center"/>
              <w:rPr>
                <w:rFonts w:ascii="宋体" w:hAnsi="宋体" w:eastAsia="宋体" w:cs="宋体"/>
                <w:szCs w:val="21"/>
              </w:rPr>
            </w:pPr>
            <w:r>
              <w:rPr>
                <w:rFonts w:hint="eastAsia" w:ascii="宋体" w:hAnsi="宋体" w:eastAsia="宋体" w:cs="宋体"/>
                <w:szCs w:val="21"/>
              </w:rPr>
              <w:t>1</w:t>
            </w:r>
          </w:p>
        </w:tc>
      </w:tr>
      <w:tr w14:paraId="0BC0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75FB6ABC">
            <w:pPr>
              <w:spacing w:line="360" w:lineRule="auto"/>
              <w:jc w:val="center"/>
              <w:rPr>
                <w:rFonts w:ascii="宋体" w:hAnsi="宋体" w:eastAsia="宋体" w:cs="宋体"/>
                <w:szCs w:val="21"/>
              </w:rPr>
            </w:pPr>
          </w:p>
        </w:tc>
        <w:tc>
          <w:tcPr>
            <w:tcW w:w="777" w:type="pct"/>
            <w:vMerge w:val="continue"/>
            <w:vAlign w:val="center"/>
          </w:tcPr>
          <w:p w14:paraId="67BE07E3">
            <w:pPr>
              <w:spacing w:line="360" w:lineRule="auto"/>
              <w:jc w:val="center"/>
              <w:rPr>
                <w:rFonts w:ascii="宋体" w:hAnsi="宋体" w:eastAsia="宋体" w:cs="宋体"/>
                <w:szCs w:val="21"/>
              </w:rPr>
            </w:pPr>
          </w:p>
        </w:tc>
        <w:tc>
          <w:tcPr>
            <w:tcW w:w="2509" w:type="pct"/>
            <w:vAlign w:val="center"/>
          </w:tcPr>
          <w:p w14:paraId="350C01DF">
            <w:pPr>
              <w:spacing w:line="360" w:lineRule="auto"/>
              <w:jc w:val="center"/>
              <w:rPr>
                <w:rFonts w:ascii="宋体" w:hAnsi="宋体" w:eastAsia="宋体" w:cs="宋体"/>
                <w:szCs w:val="21"/>
              </w:rPr>
            </w:pPr>
            <w:r>
              <w:rPr>
                <w:rFonts w:hint="eastAsia" w:ascii="宋体" w:hAnsi="宋体" w:eastAsia="宋体" w:cs="宋体"/>
                <w:szCs w:val="21"/>
              </w:rPr>
              <w:t>国际知名</w:t>
            </w:r>
          </w:p>
        </w:tc>
        <w:tc>
          <w:tcPr>
            <w:tcW w:w="1001" w:type="pct"/>
            <w:vAlign w:val="center"/>
          </w:tcPr>
          <w:p w14:paraId="02A12B30">
            <w:pPr>
              <w:spacing w:line="360" w:lineRule="auto"/>
              <w:jc w:val="center"/>
              <w:rPr>
                <w:rFonts w:ascii="宋体" w:hAnsi="宋体" w:eastAsia="宋体" w:cs="宋体"/>
                <w:szCs w:val="21"/>
              </w:rPr>
            </w:pPr>
            <w:r>
              <w:rPr>
                <w:rFonts w:hint="eastAsia" w:ascii="宋体" w:hAnsi="宋体" w:eastAsia="宋体" w:cs="宋体"/>
                <w:szCs w:val="21"/>
              </w:rPr>
              <w:t>1.5</w:t>
            </w:r>
          </w:p>
        </w:tc>
      </w:tr>
      <w:tr w14:paraId="0ACF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1C5D98C1">
            <w:pPr>
              <w:spacing w:line="360" w:lineRule="auto"/>
              <w:jc w:val="center"/>
              <w:rPr>
                <w:rFonts w:ascii="宋体" w:hAnsi="宋体" w:eastAsia="宋体" w:cs="宋体"/>
                <w:szCs w:val="21"/>
              </w:rPr>
            </w:pPr>
          </w:p>
        </w:tc>
        <w:tc>
          <w:tcPr>
            <w:tcW w:w="3287" w:type="pct"/>
            <w:gridSpan w:val="2"/>
            <w:vAlign w:val="center"/>
          </w:tcPr>
          <w:p w14:paraId="6A9F1B08">
            <w:pPr>
              <w:spacing w:line="360" w:lineRule="auto"/>
              <w:jc w:val="center"/>
              <w:rPr>
                <w:rFonts w:ascii="宋体" w:hAnsi="宋体" w:eastAsia="宋体" w:cs="宋体"/>
                <w:szCs w:val="21"/>
              </w:rPr>
            </w:pPr>
            <w:r>
              <w:rPr>
                <w:rFonts w:hint="eastAsia" w:ascii="宋体" w:hAnsi="宋体" w:eastAsia="宋体" w:cs="宋体"/>
                <w:szCs w:val="21"/>
              </w:rPr>
              <w:t>侵权人采取措施毁灭、掩盖证据</w:t>
            </w:r>
          </w:p>
        </w:tc>
        <w:tc>
          <w:tcPr>
            <w:tcW w:w="1001" w:type="pct"/>
            <w:vAlign w:val="center"/>
          </w:tcPr>
          <w:p w14:paraId="4E6F73BB">
            <w:pPr>
              <w:spacing w:line="360" w:lineRule="auto"/>
              <w:jc w:val="center"/>
              <w:rPr>
                <w:rFonts w:ascii="宋体" w:hAnsi="宋体" w:eastAsia="宋体" w:cs="宋体"/>
                <w:szCs w:val="21"/>
              </w:rPr>
            </w:pPr>
            <w:r>
              <w:rPr>
                <w:rFonts w:hint="eastAsia" w:ascii="宋体" w:hAnsi="宋体" w:eastAsia="宋体" w:cs="宋体"/>
                <w:szCs w:val="21"/>
              </w:rPr>
              <w:t>0.5</w:t>
            </w:r>
          </w:p>
        </w:tc>
      </w:tr>
      <w:tr w14:paraId="45905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restart"/>
            <w:vAlign w:val="center"/>
          </w:tcPr>
          <w:p w14:paraId="0E71FFEC">
            <w:pPr>
              <w:spacing w:line="360" w:lineRule="auto"/>
              <w:jc w:val="center"/>
              <w:rPr>
                <w:rFonts w:ascii="宋体" w:hAnsi="宋体" w:eastAsia="宋体" w:cs="宋体"/>
                <w:szCs w:val="21"/>
              </w:rPr>
            </w:pPr>
            <w:r>
              <w:rPr>
                <w:rFonts w:hint="eastAsia" w:ascii="宋体" w:hAnsi="宋体" w:eastAsia="宋体" w:cs="宋体"/>
                <w:szCs w:val="21"/>
              </w:rPr>
              <w:t>客观情节</w:t>
            </w:r>
          </w:p>
        </w:tc>
        <w:tc>
          <w:tcPr>
            <w:tcW w:w="3287" w:type="pct"/>
            <w:gridSpan w:val="2"/>
            <w:vAlign w:val="center"/>
          </w:tcPr>
          <w:p w14:paraId="36ED2DB5">
            <w:pPr>
              <w:spacing w:line="360" w:lineRule="auto"/>
              <w:jc w:val="center"/>
              <w:rPr>
                <w:rFonts w:ascii="宋体" w:hAnsi="宋体" w:eastAsia="宋体" w:cs="宋体"/>
                <w:szCs w:val="21"/>
              </w:rPr>
            </w:pPr>
            <w:r>
              <w:rPr>
                <w:rFonts w:hint="eastAsia" w:ascii="宋体" w:hAnsi="宋体" w:eastAsia="宋体" w:cs="宋体"/>
                <w:szCs w:val="21"/>
              </w:rPr>
              <w:t>以侵权为业</w:t>
            </w:r>
          </w:p>
        </w:tc>
        <w:tc>
          <w:tcPr>
            <w:tcW w:w="1001" w:type="pct"/>
            <w:vAlign w:val="center"/>
          </w:tcPr>
          <w:p w14:paraId="16A8DD98">
            <w:pPr>
              <w:spacing w:line="360" w:lineRule="auto"/>
              <w:jc w:val="center"/>
              <w:rPr>
                <w:rFonts w:ascii="宋体" w:hAnsi="宋体" w:eastAsia="宋体" w:cs="宋体"/>
                <w:szCs w:val="21"/>
              </w:rPr>
            </w:pPr>
            <w:r>
              <w:rPr>
                <w:rFonts w:hint="eastAsia" w:ascii="宋体" w:hAnsi="宋体" w:eastAsia="宋体" w:cs="宋体"/>
                <w:szCs w:val="21"/>
              </w:rPr>
              <w:t>1.5</w:t>
            </w:r>
          </w:p>
        </w:tc>
      </w:tr>
      <w:tr w14:paraId="40D2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174D6EAF">
            <w:pPr>
              <w:spacing w:line="360" w:lineRule="auto"/>
              <w:jc w:val="center"/>
              <w:rPr>
                <w:rFonts w:ascii="宋体" w:hAnsi="宋体" w:eastAsia="宋体" w:cs="宋体"/>
                <w:szCs w:val="21"/>
              </w:rPr>
            </w:pPr>
          </w:p>
        </w:tc>
        <w:tc>
          <w:tcPr>
            <w:tcW w:w="777" w:type="pct"/>
            <w:vMerge w:val="restart"/>
            <w:vAlign w:val="center"/>
          </w:tcPr>
          <w:p w14:paraId="06F67EBD">
            <w:pPr>
              <w:spacing w:line="360" w:lineRule="auto"/>
              <w:jc w:val="center"/>
              <w:rPr>
                <w:rFonts w:ascii="宋体" w:hAnsi="宋体" w:eastAsia="宋体" w:cs="宋体"/>
                <w:szCs w:val="21"/>
              </w:rPr>
            </w:pPr>
            <w:r>
              <w:rPr>
                <w:rFonts w:hint="eastAsia" w:ascii="宋体" w:hAnsi="宋体" w:eastAsia="宋体" w:cs="宋体"/>
                <w:szCs w:val="21"/>
              </w:rPr>
              <w:t>侵权范围</w:t>
            </w:r>
          </w:p>
        </w:tc>
        <w:tc>
          <w:tcPr>
            <w:tcW w:w="2509" w:type="pct"/>
            <w:vAlign w:val="center"/>
          </w:tcPr>
          <w:p w14:paraId="0C43C20C">
            <w:pPr>
              <w:spacing w:line="360" w:lineRule="auto"/>
              <w:jc w:val="center"/>
              <w:rPr>
                <w:rFonts w:ascii="宋体" w:hAnsi="宋体" w:eastAsia="宋体" w:cs="宋体"/>
                <w:szCs w:val="21"/>
              </w:rPr>
            </w:pPr>
            <w:r>
              <w:rPr>
                <w:rFonts w:hint="eastAsia" w:ascii="宋体" w:hAnsi="宋体" w:eastAsia="宋体" w:cs="宋体"/>
                <w:szCs w:val="21"/>
              </w:rPr>
              <w:t>跨市</w:t>
            </w:r>
          </w:p>
        </w:tc>
        <w:tc>
          <w:tcPr>
            <w:tcW w:w="1001" w:type="pct"/>
            <w:vAlign w:val="center"/>
          </w:tcPr>
          <w:p w14:paraId="1FCAABF1">
            <w:pPr>
              <w:spacing w:line="360" w:lineRule="auto"/>
              <w:jc w:val="center"/>
              <w:rPr>
                <w:rFonts w:ascii="宋体" w:hAnsi="宋体" w:eastAsia="宋体" w:cs="宋体"/>
                <w:szCs w:val="21"/>
              </w:rPr>
            </w:pPr>
            <w:r>
              <w:rPr>
                <w:rFonts w:hint="eastAsia" w:ascii="宋体" w:hAnsi="宋体" w:eastAsia="宋体" w:cs="宋体"/>
                <w:szCs w:val="21"/>
              </w:rPr>
              <w:t>0.5</w:t>
            </w:r>
          </w:p>
        </w:tc>
      </w:tr>
      <w:tr w14:paraId="0BBF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64E07343">
            <w:pPr>
              <w:spacing w:line="360" w:lineRule="auto"/>
              <w:jc w:val="center"/>
              <w:rPr>
                <w:rFonts w:ascii="宋体" w:hAnsi="宋体" w:eastAsia="宋体" w:cs="宋体"/>
                <w:szCs w:val="21"/>
              </w:rPr>
            </w:pPr>
          </w:p>
        </w:tc>
        <w:tc>
          <w:tcPr>
            <w:tcW w:w="777" w:type="pct"/>
            <w:vMerge w:val="continue"/>
            <w:vAlign w:val="center"/>
          </w:tcPr>
          <w:p w14:paraId="71E552CF">
            <w:pPr>
              <w:spacing w:line="360" w:lineRule="auto"/>
              <w:jc w:val="center"/>
              <w:rPr>
                <w:rFonts w:ascii="宋体" w:hAnsi="宋体" w:eastAsia="宋体" w:cs="宋体"/>
                <w:szCs w:val="21"/>
              </w:rPr>
            </w:pPr>
          </w:p>
        </w:tc>
        <w:tc>
          <w:tcPr>
            <w:tcW w:w="2509" w:type="pct"/>
            <w:vAlign w:val="center"/>
          </w:tcPr>
          <w:p w14:paraId="5EA85952">
            <w:pPr>
              <w:spacing w:line="360" w:lineRule="auto"/>
              <w:jc w:val="center"/>
              <w:rPr>
                <w:rFonts w:ascii="宋体" w:hAnsi="宋体" w:eastAsia="宋体" w:cs="宋体"/>
                <w:szCs w:val="21"/>
              </w:rPr>
            </w:pPr>
            <w:r>
              <w:rPr>
                <w:rFonts w:hint="eastAsia" w:ascii="宋体" w:hAnsi="宋体" w:eastAsia="宋体" w:cs="宋体"/>
                <w:szCs w:val="21"/>
              </w:rPr>
              <w:t>跨省</w:t>
            </w:r>
          </w:p>
        </w:tc>
        <w:tc>
          <w:tcPr>
            <w:tcW w:w="1001" w:type="pct"/>
            <w:vAlign w:val="center"/>
          </w:tcPr>
          <w:p w14:paraId="5B99EA45">
            <w:pPr>
              <w:spacing w:line="360" w:lineRule="auto"/>
              <w:jc w:val="center"/>
              <w:rPr>
                <w:rFonts w:ascii="宋体" w:hAnsi="宋体" w:eastAsia="宋体" w:cs="宋体"/>
                <w:szCs w:val="21"/>
              </w:rPr>
            </w:pPr>
            <w:r>
              <w:rPr>
                <w:rFonts w:hint="eastAsia" w:ascii="宋体" w:hAnsi="宋体" w:eastAsia="宋体" w:cs="宋体"/>
                <w:szCs w:val="21"/>
              </w:rPr>
              <w:t>1</w:t>
            </w:r>
          </w:p>
        </w:tc>
      </w:tr>
      <w:tr w14:paraId="5133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23D5FB44">
            <w:pPr>
              <w:spacing w:line="360" w:lineRule="auto"/>
              <w:jc w:val="center"/>
              <w:rPr>
                <w:rFonts w:ascii="宋体" w:hAnsi="宋体" w:eastAsia="宋体" w:cs="宋体"/>
                <w:szCs w:val="21"/>
              </w:rPr>
            </w:pPr>
          </w:p>
        </w:tc>
        <w:tc>
          <w:tcPr>
            <w:tcW w:w="777" w:type="pct"/>
            <w:vMerge w:val="continue"/>
            <w:vAlign w:val="center"/>
          </w:tcPr>
          <w:p w14:paraId="5E79740B">
            <w:pPr>
              <w:spacing w:line="360" w:lineRule="auto"/>
              <w:jc w:val="center"/>
              <w:rPr>
                <w:rFonts w:ascii="宋体" w:hAnsi="宋体" w:eastAsia="宋体" w:cs="宋体"/>
                <w:szCs w:val="21"/>
              </w:rPr>
            </w:pPr>
          </w:p>
        </w:tc>
        <w:tc>
          <w:tcPr>
            <w:tcW w:w="2509" w:type="pct"/>
            <w:vAlign w:val="center"/>
          </w:tcPr>
          <w:p w14:paraId="4D175C6C">
            <w:pPr>
              <w:spacing w:line="360" w:lineRule="auto"/>
              <w:jc w:val="center"/>
              <w:rPr>
                <w:rFonts w:ascii="宋体" w:hAnsi="宋体" w:eastAsia="宋体" w:cs="宋体"/>
                <w:szCs w:val="21"/>
              </w:rPr>
            </w:pPr>
            <w:r>
              <w:rPr>
                <w:rFonts w:hint="eastAsia" w:ascii="宋体" w:hAnsi="宋体" w:eastAsia="宋体" w:cs="宋体"/>
                <w:szCs w:val="21"/>
              </w:rPr>
              <w:t>跨国</w:t>
            </w:r>
          </w:p>
        </w:tc>
        <w:tc>
          <w:tcPr>
            <w:tcW w:w="1001" w:type="pct"/>
            <w:vAlign w:val="center"/>
          </w:tcPr>
          <w:p w14:paraId="52A64037">
            <w:pPr>
              <w:spacing w:line="360" w:lineRule="auto"/>
              <w:jc w:val="center"/>
              <w:rPr>
                <w:rFonts w:ascii="宋体" w:hAnsi="宋体" w:eastAsia="宋体" w:cs="宋体"/>
                <w:szCs w:val="21"/>
              </w:rPr>
            </w:pPr>
            <w:r>
              <w:rPr>
                <w:rFonts w:hint="eastAsia" w:ascii="宋体" w:hAnsi="宋体" w:eastAsia="宋体" w:cs="宋体"/>
                <w:szCs w:val="21"/>
              </w:rPr>
              <w:t>1.5</w:t>
            </w:r>
          </w:p>
        </w:tc>
      </w:tr>
      <w:tr w14:paraId="7374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0EF29FEF">
            <w:pPr>
              <w:spacing w:line="360" w:lineRule="auto"/>
              <w:jc w:val="center"/>
              <w:rPr>
                <w:rFonts w:ascii="宋体" w:hAnsi="宋体" w:eastAsia="宋体" w:cs="宋体"/>
                <w:szCs w:val="21"/>
              </w:rPr>
            </w:pPr>
          </w:p>
        </w:tc>
        <w:tc>
          <w:tcPr>
            <w:tcW w:w="777" w:type="pct"/>
            <w:vMerge w:val="restart"/>
            <w:vAlign w:val="center"/>
          </w:tcPr>
          <w:p w14:paraId="182641D3">
            <w:pPr>
              <w:spacing w:line="360" w:lineRule="auto"/>
              <w:jc w:val="center"/>
              <w:rPr>
                <w:rFonts w:ascii="宋体" w:hAnsi="宋体" w:eastAsia="宋体" w:cs="宋体"/>
                <w:szCs w:val="21"/>
              </w:rPr>
            </w:pPr>
            <w:r>
              <w:rPr>
                <w:rFonts w:hint="eastAsia" w:ascii="宋体" w:hAnsi="宋体" w:eastAsia="宋体" w:cs="宋体"/>
                <w:szCs w:val="21"/>
              </w:rPr>
              <w:t>侵权时间</w:t>
            </w:r>
          </w:p>
        </w:tc>
        <w:tc>
          <w:tcPr>
            <w:tcW w:w="2509" w:type="pct"/>
            <w:vAlign w:val="center"/>
          </w:tcPr>
          <w:p w14:paraId="3949C11A">
            <w:pPr>
              <w:spacing w:line="360" w:lineRule="auto"/>
              <w:jc w:val="center"/>
              <w:rPr>
                <w:rFonts w:ascii="宋体" w:hAnsi="宋体" w:eastAsia="宋体" w:cs="宋体"/>
                <w:szCs w:val="21"/>
              </w:rPr>
            </w:pPr>
            <w:r>
              <w:rPr>
                <w:rFonts w:hint="eastAsia" w:ascii="宋体" w:hAnsi="宋体" w:eastAsia="宋体" w:cs="宋体"/>
                <w:szCs w:val="21"/>
              </w:rPr>
              <w:t>1-3年</w:t>
            </w:r>
          </w:p>
        </w:tc>
        <w:tc>
          <w:tcPr>
            <w:tcW w:w="1001" w:type="pct"/>
            <w:vAlign w:val="center"/>
          </w:tcPr>
          <w:p w14:paraId="5DD13488">
            <w:pPr>
              <w:spacing w:line="360" w:lineRule="auto"/>
              <w:jc w:val="center"/>
              <w:rPr>
                <w:rFonts w:ascii="宋体" w:hAnsi="宋体" w:eastAsia="宋体" w:cs="宋体"/>
                <w:szCs w:val="21"/>
              </w:rPr>
            </w:pPr>
            <w:r>
              <w:rPr>
                <w:rFonts w:hint="eastAsia" w:ascii="宋体" w:hAnsi="宋体" w:eastAsia="宋体" w:cs="宋体"/>
                <w:szCs w:val="21"/>
              </w:rPr>
              <w:t>0.5</w:t>
            </w:r>
          </w:p>
        </w:tc>
      </w:tr>
      <w:tr w14:paraId="027C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5B07DD87">
            <w:pPr>
              <w:spacing w:line="360" w:lineRule="auto"/>
              <w:jc w:val="center"/>
              <w:rPr>
                <w:rFonts w:ascii="宋体" w:hAnsi="宋体" w:eastAsia="宋体" w:cs="宋体"/>
                <w:szCs w:val="21"/>
              </w:rPr>
            </w:pPr>
          </w:p>
        </w:tc>
        <w:tc>
          <w:tcPr>
            <w:tcW w:w="777" w:type="pct"/>
            <w:vMerge w:val="continue"/>
            <w:vAlign w:val="center"/>
          </w:tcPr>
          <w:p w14:paraId="56C2BDF0">
            <w:pPr>
              <w:spacing w:line="360" w:lineRule="auto"/>
              <w:jc w:val="center"/>
              <w:rPr>
                <w:rFonts w:ascii="宋体" w:hAnsi="宋体" w:eastAsia="宋体" w:cs="宋体"/>
                <w:szCs w:val="21"/>
              </w:rPr>
            </w:pPr>
          </w:p>
        </w:tc>
        <w:tc>
          <w:tcPr>
            <w:tcW w:w="2509" w:type="pct"/>
            <w:vAlign w:val="center"/>
          </w:tcPr>
          <w:p w14:paraId="08CC6038">
            <w:pPr>
              <w:spacing w:line="360" w:lineRule="auto"/>
              <w:jc w:val="center"/>
              <w:rPr>
                <w:rFonts w:ascii="宋体" w:hAnsi="宋体" w:eastAsia="宋体" w:cs="宋体"/>
                <w:szCs w:val="21"/>
              </w:rPr>
            </w:pPr>
            <w:r>
              <w:rPr>
                <w:rFonts w:hint="eastAsia" w:ascii="宋体" w:hAnsi="宋体" w:eastAsia="宋体" w:cs="宋体"/>
                <w:szCs w:val="21"/>
              </w:rPr>
              <w:t>3-5年</w:t>
            </w:r>
          </w:p>
        </w:tc>
        <w:tc>
          <w:tcPr>
            <w:tcW w:w="1001" w:type="pct"/>
            <w:vAlign w:val="center"/>
          </w:tcPr>
          <w:p w14:paraId="6166DF33">
            <w:pPr>
              <w:spacing w:line="360" w:lineRule="auto"/>
              <w:jc w:val="center"/>
              <w:rPr>
                <w:rFonts w:ascii="宋体" w:hAnsi="宋体" w:eastAsia="宋体" w:cs="宋体"/>
                <w:szCs w:val="21"/>
              </w:rPr>
            </w:pPr>
            <w:r>
              <w:rPr>
                <w:rFonts w:hint="eastAsia" w:ascii="宋体" w:hAnsi="宋体" w:eastAsia="宋体" w:cs="宋体"/>
                <w:szCs w:val="21"/>
              </w:rPr>
              <w:t>1</w:t>
            </w:r>
          </w:p>
        </w:tc>
      </w:tr>
      <w:tr w14:paraId="5B36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66FC5E9F">
            <w:pPr>
              <w:spacing w:line="360" w:lineRule="auto"/>
              <w:jc w:val="center"/>
              <w:rPr>
                <w:rFonts w:ascii="宋体" w:hAnsi="宋体" w:eastAsia="宋体" w:cs="宋体"/>
                <w:szCs w:val="21"/>
              </w:rPr>
            </w:pPr>
          </w:p>
        </w:tc>
        <w:tc>
          <w:tcPr>
            <w:tcW w:w="777" w:type="pct"/>
            <w:vMerge w:val="continue"/>
            <w:vAlign w:val="center"/>
          </w:tcPr>
          <w:p w14:paraId="63031C78">
            <w:pPr>
              <w:spacing w:line="360" w:lineRule="auto"/>
              <w:jc w:val="center"/>
              <w:rPr>
                <w:rFonts w:ascii="宋体" w:hAnsi="宋体" w:eastAsia="宋体" w:cs="宋体"/>
                <w:szCs w:val="21"/>
              </w:rPr>
            </w:pPr>
          </w:p>
        </w:tc>
        <w:tc>
          <w:tcPr>
            <w:tcW w:w="2509" w:type="pct"/>
            <w:vAlign w:val="center"/>
          </w:tcPr>
          <w:p w14:paraId="436F9CD2">
            <w:pPr>
              <w:spacing w:line="360" w:lineRule="auto"/>
              <w:jc w:val="center"/>
              <w:rPr>
                <w:rFonts w:ascii="宋体" w:hAnsi="宋体" w:eastAsia="宋体" w:cs="宋体"/>
                <w:szCs w:val="21"/>
              </w:rPr>
            </w:pPr>
            <w:r>
              <w:rPr>
                <w:rFonts w:hint="eastAsia" w:ascii="宋体" w:hAnsi="宋体" w:eastAsia="宋体" w:cs="宋体"/>
                <w:szCs w:val="21"/>
              </w:rPr>
              <w:t>5-7年</w:t>
            </w:r>
          </w:p>
        </w:tc>
        <w:tc>
          <w:tcPr>
            <w:tcW w:w="1001" w:type="pct"/>
            <w:vAlign w:val="center"/>
          </w:tcPr>
          <w:p w14:paraId="07360563">
            <w:pPr>
              <w:spacing w:line="360" w:lineRule="auto"/>
              <w:jc w:val="center"/>
              <w:rPr>
                <w:rFonts w:ascii="宋体" w:hAnsi="宋体" w:eastAsia="宋体" w:cs="宋体"/>
                <w:szCs w:val="21"/>
              </w:rPr>
            </w:pPr>
            <w:r>
              <w:rPr>
                <w:rFonts w:hint="eastAsia" w:ascii="宋体" w:hAnsi="宋体" w:eastAsia="宋体" w:cs="宋体"/>
                <w:szCs w:val="21"/>
              </w:rPr>
              <w:t>1.5</w:t>
            </w:r>
          </w:p>
        </w:tc>
      </w:tr>
      <w:tr w14:paraId="7C21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7A0084C6">
            <w:pPr>
              <w:spacing w:line="360" w:lineRule="auto"/>
              <w:jc w:val="center"/>
              <w:rPr>
                <w:rFonts w:ascii="宋体" w:hAnsi="宋体" w:eastAsia="宋体" w:cs="宋体"/>
                <w:szCs w:val="21"/>
              </w:rPr>
            </w:pPr>
          </w:p>
        </w:tc>
        <w:tc>
          <w:tcPr>
            <w:tcW w:w="777" w:type="pct"/>
            <w:vMerge w:val="restart"/>
            <w:vAlign w:val="center"/>
          </w:tcPr>
          <w:p w14:paraId="553B38B2">
            <w:pPr>
              <w:spacing w:line="360" w:lineRule="auto"/>
              <w:jc w:val="center"/>
              <w:rPr>
                <w:rFonts w:ascii="宋体" w:hAnsi="宋体" w:eastAsia="宋体" w:cs="宋体"/>
                <w:szCs w:val="21"/>
              </w:rPr>
            </w:pPr>
            <w:r>
              <w:rPr>
                <w:rFonts w:hint="eastAsia" w:ascii="宋体" w:hAnsi="宋体" w:eastAsia="宋体" w:cs="宋体"/>
                <w:szCs w:val="21"/>
              </w:rPr>
              <w:t>侵权数额</w:t>
            </w:r>
          </w:p>
        </w:tc>
        <w:tc>
          <w:tcPr>
            <w:tcW w:w="2509" w:type="pct"/>
            <w:vAlign w:val="center"/>
          </w:tcPr>
          <w:p w14:paraId="12C2D967">
            <w:pPr>
              <w:spacing w:line="360" w:lineRule="auto"/>
              <w:jc w:val="center"/>
              <w:rPr>
                <w:rFonts w:ascii="宋体" w:hAnsi="宋体" w:eastAsia="宋体" w:cs="宋体"/>
                <w:szCs w:val="21"/>
              </w:rPr>
            </w:pPr>
            <w:r>
              <w:rPr>
                <w:rFonts w:hint="eastAsia" w:ascii="宋体" w:hAnsi="宋体" w:eastAsia="宋体" w:cs="宋体"/>
                <w:szCs w:val="21"/>
              </w:rPr>
              <w:t>500万以下</w:t>
            </w:r>
          </w:p>
        </w:tc>
        <w:tc>
          <w:tcPr>
            <w:tcW w:w="1001" w:type="pct"/>
            <w:vAlign w:val="center"/>
          </w:tcPr>
          <w:p w14:paraId="28803F30">
            <w:pPr>
              <w:spacing w:line="360" w:lineRule="auto"/>
              <w:jc w:val="center"/>
              <w:rPr>
                <w:rFonts w:ascii="宋体" w:hAnsi="宋体" w:eastAsia="宋体" w:cs="宋体"/>
                <w:szCs w:val="21"/>
              </w:rPr>
            </w:pPr>
            <w:r>
              <w:rPr>
                <w:rFonts w:hint="eastAsia" w:ascii="宋体" w:hAnsi="宋体" w:eastAsia="宋体" w:cs="宋体"/>
                <w:szCs w:val="21"/>
              </w:rPr>
              <w:t>0.5</w:t>
            </w:r>
          </w:p>
        </w:tc>
      </w:tr>
      <w:tr w14:paraId="5B7A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55B5FAE2">
            <w:pPr>
              <w:spacing w:line="360" w:lineRule="auto"/>
              <w:jc w:val="center"/>
              <w:rPr>
                <w:rFonts w:ascii="宋体" w:hAnsi="宋体" w:eastAsia="宋体" w:cs="宋体"/>
                <w:szCs w:val="21"/>
              </w:rPr>
            </w:pPr>
          </w:p>
        </w:tc>
        <w:tc>
          <w:tcPr>
            <w:tcW w:w="777" w:type="pct"/>
            <w:vMerge w:val="continue"/>
            <w:vAlign w:val="center"/>
          </w:tcPr>
          <w:p w14:paraId="06FFC858">
            <w:pPr>
              <w:spacing w:line="360" w:lineRule="auto"/>
              <w:jc w:val="center"/>
              <w:rPr>
                <w:rFonts w:ascii="宋体" w:hAnsi="宋体" w:eastAsia="宋体" w:cs="宋体"/>
                <w:szCs w:val="21"/>
              </w:rPr>
            </w:pPr>
          </w:p>
        </w:tc>
        <w:tc>
          <w:tcPr>
            <w:tcW w:w="2509" w:type="pct"/>
            <w:vAlign w:val="center"/>
          </w:tcPr>
          <w:p w14:paraId="4D6C6388">
            <w:pPr>
              <w:spacing w:line="360" w:lineRule="auto"/>
              <w:jc w:val="center"/>
              <w:rPr>
                <w:rFonts w:ascii="宋体" w:hAnsi="宋体" w:eastAsia="宋体" w:cs="宋体"/>
                <w:szCs w:val="21"/>
              </w:rPr>
            </w:pPr>
            <w:r>
              <w:rPr>
                <w:rFonts w:hint="eastAsia" w:ascii="宋体" w:hAnsi="宋体" w:eastAsia="宋体" w:cs="宋体"/>
                <w:szCs w:val="21"/>
              </w:rPr>
              <w:t>500-1000万</w:t>
            </w:r>
          </w:p>
        </w:tc>
        <w:tc>
          <w:tcPr>
            <w:tcW w:w="1001" w:type="pct"/>
            <w:vAlign w:val="center"/>
          </w:tcPr>
          <w:p w14:paraId="48D5F643">
            <w:pPr>
              <w:spacing w:line="360" w:lineRule="auto"/>
              <w:jc w:val="center"/>
              <w:rPr>
                <w:rFonts w:ascii="宋体" w:hAnsi="宋体" w:eastAsia="宋体" w:cs="宋体"/>
                <w:szCs w:val="21"/>
              </w:rPr>
            </w:pPr>
            <w:r>
              <w:rPr>
                <w:rFonts w:hint="eastAsia" w:ascii="宋体" w:hAnsi="宋体" w:eastAsia="宋体" w:cs="宋体"/>
                <w:szCs w:val="21"/>
              </w:rPr>
              <w:t>1</w:t>
            </w:r>
          </w:p>
        </w:tc>
      </w:tr>
      <w:tr w14:paraId="18A5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2C43F9FF">
            <w:pPr>
              <w:spacing w:line="360" w:lineRule="auto"/>
              <w:jc w:val="center"/>
              <w:rPr>
                <w:rFonts w:ascii="宋体" w:hAnsi="宋体" w:eastAsia="宋体" w:cs="宋体"/>
                <w:szCs w:val="21"/>
              </w:rPr>
            </w:pPr>
          </w:p>
        </w:tc>
        <w:tc>
          <w:tcPr>
            <w:tcW w:w="777" w:type="pct"/>
            <w:vMerge w:val="continue"/>
            <w:vAlign w:val="center"/>
          </w:tcPr>
          <w:p w14:paraId="7E071157">
            <w:pPr>
              <w:spacing w:line="360" w:lineRule="auto"/>
              <w:jc w:val="center"/>
              <w:rPr>
                <w:rFonts w:ascii="宋体" w:hAnsi="宋体" w:eastAsia="宋体" w:cs="宋体"/>
                <w:szCs w:val="21"/>
              </w:rPr>
            </w:pPr>
          </w:p>
        </w:tc>
        <w:tc>
          <w:tcPr>
            <w:tcW w:w="2509" w:type="pct"/>
            <w:vAlign w:val="center"/>
          </w:tcPr>
          <w:p w14:paraId="0B2AD8F0">
            <w:pPr>
              <w:spacing w:line="360" w:lineRule="auto"/>
              <w:jc w:val="center"/>
              <w:rPr>
                <w:rFonts w:ascii="宋体" w:hAnsi="宋体" w:eastAsia="宋体" w:cs="宋体"/>
                <w:szCs w:val="21"/>
              </w:rPr>
            </w:pPr>
            <w:r>
              <w:rPr>
                <w:rFonts w:hint="eastAsia" w:ascii="宋体" w:hAnsi="宋体" w:eastAsia="宋体" w:cs="宋体"/>
                <w:szCs w:val="21"/>
              </w:rPr>
              <w:t>1000万以上</w:t>
            </w:r>
          </w:p>
        </w:tc>
        <w:tc>
          <w:tcPr>
            <w:tcW w:w="1001" w:type="pct"/>
            <w:vAlign w:val="center"/>
          </w:tcPr>
          <w:p w14:paraId="4116E41C">
            <w:pPr>
              <w:spacing w:line="360" w:lineRule="auto"/>
              <w:jc w:val="center"/>
              <w:rPr>
                <w:rFonts w:ascii="宋体" w:hAnsi="宋体" w:eastAsia="宋体" w:cs="宋体"/>
                <w:szCs w:val="21"/>
              </w:rPr>
            </w:pPr>
            <w:r>
              <w:rPr>
                <w:rFonts w:hint="eastAsia" w:ascii="宋体" w:hAnsi="宋体" w:eastAsia="宋体" w:cs="宋体"/>
                <w:szCs w:val="21"/>
              </w:rPr>
              <w:t>1.5</w:t>
            </w:r>
          </w:p>
        </w:tc>
      </w:tr>
      <w:tr w14:paraId="2636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vMerge w:val="continue"/>
            <w:vAlign w:val="center"/>
          </w:tcPr>
          <w:p w14:paraId="7BFE088C">
            <w:pPr>
              <w:spacing w:line="360" w:lineRule="auto"/>
              <w:jc w:val="center"/>
              <w:rPr>
                <w:rFonts w:ascii="宋体" w:hAnsi="宋体" w:eastAsia="宋体" w:cs="宋体"/>
                <w:szCs w:val="21"/>
              </w:rPr>
            </w:pPr>
          </w:p>
        </w:tc>
        <w:tc>
          <w:tcPr>
            <w:tcW w:w="3287" w:type="pct"/>
            <w:gridSpan w:val="2"/>
            <w:vAlign w:val="center"/>
          </w:tcPr>
          <w:p w14:paraId="0873705F">
            <w:pPr>
              <w:spacing w:line="360" w:lineRule="auto"/>
              <w:jc w:val="center"/>
              <w:rPr>
                <w:rFonts w:ascii="宋体" w:hAnsi="宋体" w:eastAsia="宋体" w:cs="宋体"/>
                <w:szCs w:val="21"/>
              </w:rPr>
            </w:pPr>
            <w:r>
              <w:rPr>
                <w:rFonts w:hint="eastAsia" w:ascii="宋体" w:hAnsi="宋体" w:eastAsia="宋体" w:cs="宋体"/>
                <w:szCs w:val="21"/>
              </w:rPr>
              <w:t>举证妨碍</w:t>
            </w:r>
          </w:p>
        </w:tc>
        <w:tc>
          <w:tcPr>
            <w:tcW w:w="1001" w:type="pct"/>
            <w:vAlign w:val="center"/>
          </w:tcPr>
          <w:p w14:paraId="2B2B9CB5">
            <w:pPr>
              <w:spacing w:line="360" w:lineRule="auto"/>
              <w:jc w:val="center"/>
              <w:rPr>
                <w:rFonts w:ascii="宋体" w:hAnsi="宋体" w:eastAsia="宋体" w:cs="宋体"/>
                <w:szCs w:val="21"/>
              </w:rPr>
            </w:pPr>
            <w:r>
              <w:rPr>
                <w:rFonts w:hint="eastAsia" w:ascii="宋体" w:hAnsi="宋体" w:eastAsia="宋体" w:cs="宋体"/>
                <w:szCs w:val="21"/>
              </w:rPr>
              <w:t>0.5</w:t>
            </w:r>
          </w:p>
        </w:tc>
      </w:tr>
    </w:tbl>
    <w:p w14:paraId="6584BA55">
      <w:pPr>
        <w:spacing w:line="360" w:lineRule="auto"/>
        <w:ind w:firstLine="480" w:firstLineChars="200"/>
        <w:rPr>
          <w:rFonts w:ascii="宋体" w:hAnsi="宋体" w:eastAsia="宋体" w:cs="宋体"/>
          <w:sz w:val="24"/>
        </w:rPr>
      </w:pPr>
      <w:r>
        <w:rPr>
          <w:rFonts w:hint="eastAsia" w:ascii="宋体" w:hAnsi="宋体" w:eastAsia="宋体" w:cs="宋体"/>
          <w:sz w:val="24"/>
        </w:rPr>
        <w:t>根据上表，</w:t>
      </w:r>
      <w:r>
        <w:rPr>
          <w:rFonts w:ascii="宋体" w:hAnsi="宋体" w:eastAsia="宋体" w:cs="宋体"/>
          <w:sz w:val="24"/>
        </w:rPr>
        <w:t>法官可</w:t>
      </w:r>
      <w:r>
        <w:rPr>
          <w:rFonts w:hint="eastAsia" w:ascii="宋体" w:hAnsi="宋体" w:eastAsia="宋体" w:cs="宋体"/>
          <w:sz w:val="24"/>
        </w:rPr>
        <w:t>以</w:t>
      </w:r>
      <w:r>
        <w:rPr>
          <w:rFonts w:ascii="宋体" w:hAnsi="宋体" w:eastAsia="宋体" w:cs="宋体"/>
          <w:sz w:val="24"/>
        </w:rPr>
        <w:t>量化</w:t>
      </w:r>
      <w:r>
        <w:rPr>
          <w:rFonts w:hint="eastAsia" w:ascii="宋体" w:hAnsi="宋体" w:eastAsia="宋体" w:cs="宋体"/>
          <w:sz w:val="24"/>
        </w:rPr>
        <w:t>方式</w:t>
      </w:r>
      <w:r>
        <w:rPr>
          <w:rFonts w:ascii="宋体" w:hAnsi="宋体" w:eastAsia="宋体" w:cs="宋体"/>
          <w:sz w:val="24"/>
        </w:rPr>
        <w:t>来确定惩罚性赔偿的倍数，即通过</w:t>
      </w:r>
      <w:r>
        <w:rPr>
          <w:rFonts w:hint="eastAsia" w:ascii="宋体" w:hAnsi="宋体" w:eastAsia="宋体" w:cs="宋体"/>
          <w:sz w:val="24"/>
        </w:rPr>
        <w:t>对主观过错</w:t>
      </w:r>
      <w:r>
        <w:rPr>
          <w:rFonts w:ascii="宋体" w:hAnsi="宋体" w:eastAsia="宋体" w:cs="宋体"/>
          <w:sz w:val="24"/>
        </w:rPr>
        <w:t>和情节严重的具体要素赋予相应的倍数，并根据进行累加，得出最终的赔偿倍数。上表所展示的理想性赋值，是对惩罚性赔偿倍数要素的一种理论性构建</w:t>
      </w:r>
      <w:r>
        <w:rPr>
          <w:rFonts w:hint="eastAsia" w:ascii="宋体" w:hAnsi="宋体" w:eastAsia="宋体" w:cs="宋体"/>
          <w:sz w:val="24"/>
        </w:rPr>
        <w:t>，</w:t>
      </w:r>
      <w:r>
        <w:rPr>
          <w:rFonts w:ascii="宋体" w:hAnsi="宋体" w:eastAsia="宋体" w:cs="宋体"/>
          <w:sz w:val="24"/>
        </w:rPr>
        <w:t>其科学性和适用性有待于司法实践的进一步检验与完善</w:t>
      </w:r>
      <w:r>
        <w:rPr>
          <w:rFonts w:hint="eastAsia" w:ascii="宋体" w:hAnsi="宋体" w:eastAsia="宋体" w:cs="宋体"/>
          <w:sz w:val="24"/>
        </w:rPr>
        <w:t>。它仅能作为法官审判时的一种参照，而不能完全依赖于此进行评判。法官在适用时仍应充分发挥自由裁量空间，特别注意将最终的赔偿倍数限制在5倍以内。</w:t>
      </w:r>
    </w:p>
    <w:p w14:paraId="4CC83AB1">
      <w:pPr>
        <w:numPr>
          <w:ilvl w:val="0"/>
          <w:numId w:val="4"/>
        </w:numPr>
        <w:spacing w:line="360" w:lineRule="auto"/>
        <w:ind w:firstLine="482" w:firstLineChars="200"/>
        <w:rPr>
          <w:rFonts w:ascii="宋体" w:hAnsi="宋体" w:eastAsia="宋体" w:cs="宋体"/>
          <w:b/>
          <w:bCs/>
          <w:sz w:val="24"/>
        </w:rPr>
      </w:pPr>
      <w:r>
        <w:rPr>
          <w:rFonts w:hint="eastAsia" w:ascii="宋体" w:hAnsi="宋体" w:eastAsia="宋体" w:cs="宋体"/>
          <w:b/>
          <w:bCs/>
          <w:sz w:val="24"/>
        </w:rPr>
        <w:t>协调法定赔偿与惩罚性赔偿的关系</w:t>
      </w:r>
    </w:p>
    <w:p w14:paraId="5D291F2A">
      <w:pPr>
        <w:spacing w:line="360" w:lineRule="auto"/>
        <w:ind w:firstLine="480" w:firstLineChars="200"/>
        <w:rPr>
          <w:rFonts w:ascii="宋体" w:hAnsi="宋体" w:eastAsia="宋体" w:cs="宋体"/>
          <w:sz w:val="24"/>
        </w:rPr>
      </w:pPr>
      <w:r>
        <w:rPr>
          <w:rFonts w:hint="eastAsia" w:ascii="宋体" w:hAnsi="宋体" w:eastAsia="宋体" w:cs="宋体"/>
          <w:sz w:val="24"/>
        </w:rPr>
        <w:t>法定赔偿与惩罚性赔偿关系不和谐，是遏制惩罚性赔偿适用的重要缘由之一。为激活法定赔偿与惩罚性赔偿的适用方式，可将其划分为两种模式：即并用模式与单一模式。并用模式主张在法定赔偿中融入惩罚性因素，或将基数的认定直接视为法定赔偿数额，使得两者在案件中同时适用并相互融合。单一模式则主张在赔偿数额的确定上应避免法官的过度自由裁量。</w:t>
      </w:r>
    </w:p>
    <w:p w14:paraId="2D58D23F">
      <w:pPr>
        <w:spacing w:line="360" w:lineRule="auto"/>
        <w:ind w:firstLine="480" w:firstLineChars="200"/>
        <w:rPr>
          <w:rFonts w:ascii="宋体" w:hAnsi="宋体" w:eastAsia="宋体" w:cs="宋体"/>
          <w:sz w:val="24"/>
        </w:rPr>
      </w:pPr>
      <w:r>
        <w:rPr>
          <w:rFonts w:hint="eastAsia" w:ascii="宋体" w:hAnsi="宋体" w:eastAsia="宋体" w:cs="宋体"/>
          <w:sz w:val="24"/>
        </w:rPr>
        <w:t>我们倾向于支持单一模式，认为法定赔偿存在极大的自由裁量空间，与惩罚性赔偿应审慎适用的原则存在冲突。但现行法律条文在划分惩罚性赔偿与法定赔偿的适用区间时，却未能具体明确二者的界限，导致在实际适用中存在以法定赔偿替代惩罚性赔偿的现象。法定赔偿作为兜底的填平性赔偿措施，应在保留法定赔偿的基础上，对单一模式进行适当的修改与完善，在明确应当适用惩罚性赔偿的情况下，优先适用惩罚性赔偿，以发挥惩罚性赔偿制度的威慑、警示作用；同时避免法官因法定赔偿的计算适用简便而多以法定赔偿判处的问题。</w:t>
      </w:r>
    </w:p>
    <w:p w14:paraId="7A3F465E">
      <w:pPr>
        <w:spacing w:line="360" w:lineRule="auto"/>
        <w:ind w:firstLine="482" w:firstLineChars="200"/>
        <w:rPr>
          <w:rFonts w:ascii="宋体" w:hAnsi="宋体" w:eastAsia="宋体" w:cs="宋体"/>
          <w:b/>
          <w:bCs/>
          <w:sz w:val="24"/>
        </w:rPr>
      </w:pPr>
      <w:r>
        <w:rPr>
          <w:rFonts w:hint="eastAsia" w:ascii="宋体" w:hAnsi="宋体" w:eastAsia="宋体" w:cs="宋体"/>
          <w:b/>
          <w:bCs/>
          <w:sz w:val="24"/>
        </w:rPr>
        <w:t>暂结语</w:t>
      </w:r>
    </w:p>
    <w:p w14:paraId="18742215">
      <w:pPr>
        <w:spacing w:line="360" w:lineRule="auto"/>
        <w:ind w:firstLine="480" w:firstLineChars="200"/>
        <w:rPr>
          <w:rFonts w:ascii="宋体" w:hAnsi="宋体" w:eastAsia="宋体" w:cs="宋体"/>
          <w:b/>
          <w:bCs/>
          <w:sz w:val="24"/>
        </w:rPr>
      </w:pPr>
      <w:r>
        <w:rPr>
          <w:rFonts w:hint="eastAsia" w:ascii="宋体" w:hAnsi="宋体" w:eastAsia="宋体" w:cs="宋体"/>
          <w:sz w:val="24"/>
        </w:rPr>
        <w:t>商业秘密侵权惩罚性赔偿制度是在不断强化知识产权保护的背景下，对商业秘密侵权数量迅速攀升、商业秘密侵权举证困难、商业秘密权利人损失较大等现实需求的制度回应。在侵犯商业秘密纠纷中引入惩罚性赔偿制度，旨在提高侵权成本，从而抑制商业秘密侵权行为发生，优化经济市场的营商环境。在明确惩罚性赔偿功能定位的基础上，应当鼓励惩罚性赔偿积极适用。为了加强商业秘密侵权惩罚性赔偿的积极适用及合理适用，在立法层面应当明确适用的实体要件及健全配套程序保护机制，在司法层面应当改进赔偿数额的计算方式及协调法定赔偿与惩罚性赔偿的适用。相信未来随着制度规则的优化与司法适用的改善，商业秘密惩罚性赔偿制度将会被激活，惩罚性赔偿在预防商标侵权行为的发生、商业秘密保护水平的提升等功能将会被充分发挥。</w:t>
      </w:r>
    </w:p>
    <w:sectPr>
      <w:footnotePr>
        <w:numFmt w:val="decimalEnclosedCircleChinese"/>
      </w:footnote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隶书">
    <w:altName w:val="宋体"/>
    <w:panose1 w:val="00000000000000000000"/>
    <w:charset w:val="86"/>
    <w:family w:val="modern"/>
    <w:pitch w:val="default"/>
    <w:sig w:usb0="00000000" w:usb1="00000000" w:usb2="00000010" w:usb3="00000000" w:csb0="00040000" w:csb1="00000000"/>
  </w:font>
  <w:font w:name="方正黑体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68823">
    <w:pPr>
      <w:snapToGrid w:val="0"/>
      <w:jc w:val="left"/>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3505" cy="139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03505" cy="139700"/>
                      </a:xfrm>
                      <a:prstGeom prst="rect">
                        <a:avLst/>
                      </a:prstGeom>
                      <a:noFill/>
                      <a:ln>
                        <a:noFill/>
                      </a:ln>
                      <a:effectLst/>
                    </wps:spPr>
                    <wps:txbx>
                      <w:txbxContent>
                        <w:p w14:paraId="2EE113C8">
                          <w:pPr>
                            <w:snapToGrid w:val="0"/>
                            <w:jc w:val="left"/>
                            <w:rPr>
                              <w:sz w:val="18"/>
                            </w:rPr>
                          </w:pPr>
                        </w:p>
                      </w:txbxContent>
                    </wps:txbx>
                    <wps:bodyPr wrap="none" lIns="0" tIns="0" rIns="0" bIns="0">
                      <a:spAutoFit/>
                    </wps:bodyPr>
                  </wps:wsp>
                </a:graphicData>
              </a:graphic>
            </wp:anchor>
          </w:drawing>
        </mc:Choice>
        <mc:Fallback>
          <w:pict>
            <v:shape id="_x0000_s1026" o:spid="_x0000_s1026" o:spt="202" type="#_x0000_t202" style="position:absolute;left:0pt;margin-top:0pt;height:11pt;width:8.15pt;mso-position-horizontal:center;mso-position-horizontal-relative:margin;mso-wrap-style:none;z-index:251659264;mso-width-relative:page;mso-height-relative:page;" filled="f" stroked="f" coordsize="21600,21600" o:gfxdata="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MiFHNAAAAADAQAADwAAAAAAAAABACAAAAAiAAAAZHJzL2Rvd25y&#10;ZXYueG1sUEsBAhQAFAAAAAgAh07iQNp9W7bNAQAAmQMAAA4AAAAAAAAAAQAgAAAAHwEAAGRycy9l&#10;Mm9Eb2MueG1sUEsFBgAAAAAGAAYAWQEAAF4FAAAAAA==&#10;">
              <v:fill on="f" focussize="0,0"/>
              <v:stroke on="f"/>
              <v:imagedata o:title=""/>
              <o:lock v:ext="edit" aspectratio="f"/>
              <v:textbox inset="0mm,0mm,0mm,0mm" style="mso-fit-shape-to-text:t;">
                <w:txbxContent>
                  <w:p w14:paraId="2EE113C8">
                    <w:pPr>
                      <w:snapToGrid w:val="0"/>
                      <w:jc w:val="left"/>
                      <w:rPr>
                        <w:sz w:val="18"/>
                      </w:rPr>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3505" cy="1397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03505" cy="139700"/>
                      </a:xfrm>
                      <a:prstGeom prst="rect">
                        <a:avLst/>
                      </a:prstGeom>
                      <a:noFill/>
                      <a:ln>
                        <a:noFill/>
                      </a:ln>
                      <a:effectLst/>
                    </wps:spPr>
                    <wps:txbx>
                      <w:txbxContent>
                        <w:p w14:paraId="614C9385">
                          <w:pPr>
                            <w:snapToGrid w:val="0"/>
                            <w:jc w:val="left"/>
                            <w:rPr>
                              <w:sz w:val="18"/>
                            </w:rPr>
                          </w:pPr>
                        </w:p>
                      </w:txbxContent>
                    </wps:txbx>
                    <wps:bodyPr wrap="none" lIns="0" tIns="0" rIns="0" bIns="0">
                      <a:spAutoFit/>
                    </wps:bodyPr>
                  </wps:wsp>
                </a:graphicData>
              </a:graphic>
            </wp:anchor>
          </w:drawing>
        </mc:Choice>
        <mc:Fallback>
          <w:pict>
            <v:shape id="_x0000_s1026" o:spid="_x0000_s1026" o:spt="202" type="#_x0000_t202" style="position:absolute;left:0pt;margin-top:0pt;height:11pt;width:8.15pt;mso-position-horizontal:center;mso-position-horizontal-relative:margin;mso-wrap-style:none;z-index:251659264;mso-width-relative:page;mso-height-relative:page;" filled="f" stroked="f" coordsize="21600,21600" o:gfxdata="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MiFHNAAAAADAQAADwAAAAAAAAABACAAAAAiAAAAZHJzL2Rvd25y&#10;ZXYueG1sUEsBAhQAFAAAAAgAh07iQBrmhmjNAQAAmQMAAA4AAAAAAAAAAQAgAAAAHwEAAGRycy9l&#10;Mm9Eb2MueG1sUEsFBgAAAAAGAAYAWQEAAF4FAAAAAA==&#10;">
              <v:fill on="f" focussize="0,0"/>
              <v:stroke on="f"/>
              <v:imagedata o:title=""/>
              <o:lock v:ext="edit" aspectratio="f"/>
              <v:textbox inset="0mm,0mm,0mm,0mm" style="mso-fit-shape-to-text:t;">
                <w:txbxContent>
                  <w:p w14:paraId="614C9385">
                    <w:pPr>
                      <w:snapToGrid w:val="0"/>
                      <w:jc w:val="left"/>
                      <w:rPr>
                        <w:sz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74">
    <w:p>
      <w:r>
        <w:separator/>
      </w:r>
    </w:p>
  </w:footnote>
  <w:footnote w:type="continuationSeparator" w:id="75">
    <w:p>
      <w:r>
        <w:continuationSeparator/>
      </w:r>
    </w:p>
  </w:footnote>
  <w:footnote w:id="0">
    <w:p w14:paraId="4B4826C9">
      <w:pPr>
        <w:pStyle w:val="6"/>
      </w:pPr>
      <w:r>
        <w:rPr>
          <w:rStyle w:val="10"/>
        </w:rPr>
        <w:footnoteRef/>
      </w:r>
      <w:r>
        <w:t xml:space="preserve"> </w:t>
      </w:r>
      <w:r>
        <w:rPr>
          <w:rFonts w:hint="eastAsia"/>
        </w:rPr>
        <w:t>例如，2013年《商标法》第63条第1款首开先河确定了商标侵权惩罚性赔偿规则；2015年《种子法》第73条第3款确定了植物新品种权侵权惩罚性赔偿规则；2019年《反不正当竞争法》第17条第3款在侵犯商业秘密案件中引入了惩罚性赔偿规则；2020年颁布的《民法典》第1185条更是规定了“故意侵害他人知识产权，情节严重的，被侵权人有权请求相应的惩罚性赔偿”，确立了知识产权侵权惩罚性赔偿的一般规则。《民法典》之后修改的《专利法》第71条第1款、《著作权法》第54条第1款也在各自领域规定了惩罚性赔偿规则。</w:t>
      </w:r>
    </w:p>
  </w:footnote>
  <w:footnote w:id="1">
    <w:p w14:paraId="0AA6F22F">
      <w:pPr>
        <w:pStyle w:val="6"/>
        <w:rPr>
          <w:rFonts w:ascii="宋体" w:hAnsi="宋体" w:eastAsia="宋体" w:cs="宋体"/>
        </w:rPr>
      </w:pPr>
      <w:r>
        <w:rPr>
          <w:rStyle w:val="10"/>
          <w:rFonts w:hint="eastAsia" w:ascii="宋体" w:hAnsi="宋体" w:eastAsia="宋体" w:cs="宋体"/>
        </w:rPr>
        <w:footnoteRef/>
      </w:r>
      <w:r>
        <w:rPr>
          <w:rFonts w:hint="eastAsia" w:ascii="宋体" w:hAnsi="宋体" w:eastAsia="宋体" w:cs="宋体"/>
        </w:rPr>
        <w:t xml:space="preserve"> 参见最高人民法院（2021）最高法知民终312号民事判决书。</w:t>
      </w:r>
    </w:p>
  </w:footnote>
  <w:footnote w:id="2">
    <w:p w14:paraId="3D8DAE4B">
      <w:pPr>
        <w:pStyle w:val="6"/>
        <w:rPr>
          <w:rFonts w:ascii="宋体" w:hAnsi="宋体" w:eastAsia="宋体" w:cs="宋体"/>
        </w:rPr>
      </w:pPr>
      <w:r>
        <w:rPr>
          <w:rStyle w:val="10"/>
          <w:rFonts w:hint="eastAsia" w:ascii="宋体" w:hAnsi="宋体" w:eastAsia="宋体" w:cs="宋体"/>
        </w:rPr>
        <w:footnoteRef/>
      </w:r>
      <w:r>
        <w:rPr>
          <w:rFonts w:hint="eastAsia" w:ascii="宋体" w:hAnsi="宋体" w:eastAsia="宋体" w:cs="宋体"/>
        </w:rPr>
        <w:t xml:space="preserve"> 参见最高人民法院（2022）最高法知民终814号民事判决书。</w:t>
      </w:r>
    </w:p>
  </w:footnote>
  <w:footnote w:id="3">
    <w:p w14:paraId="589CA182">
      <w:pPr>
        <w:pStyle w:val="6"/>
        <w:rPr>
          <w:rFonts w:ascii="宋体" w:hAnsi="宋体" w:eastAsia="宋体" w:cs="宋体"/>
        </w:rPr>
      </w:pPr>
      <w:r>
        <w:rPr>
          <w:rStyle w:val="10"/>
          <w:rFonts w:hint="eastAsia" w:ascii="宋体" w:hAnsi="宋体" w:eastAsia="宋体" w:cs="宋体"/>
        </w:rPr>
        <w:footnoteRef/>
      </w:r>
      <w:r>
        <w:rPr>
          <w:rFonts w:hint="eastAsia" w:ascii="宋体" w:hAnsi="宋体" w:eastAsia="宋体" w:cs="宋体"/>
        </w:rPr>
        <w:t xml:space="preserve"> 参见最高人民法院（2022）最高法知民终2583号民事判决书。</w:t>
      </w:r>
    </w:p>
  </w:footnote>
  <w:footnote w:id="4">
    <w:p w14:paraId="3ADE8A0C">
      <w:pPr>
        <w:pStyle w:val="6"/>
        <w:rPr>
          <w:rFonts w:ascii="宋体" w:hAnsi="宋体" w:eastAsia="宋体" w:cs="宋体"/>
        </w:rPr>
      </w:pPr>
      <w:r>
        <w:rPr>
          <w:rStyle w:val="10"/>
          <w:rFonts w:hint="eastAsia" w:ascii="宋体" w:hAnsi="宋体" w:eastAsia="宋体" w:cs="宋体"/>
        </w:rPr>
        <w:footnoteRef/>
      </w:r>
      <w:r>
        <w:rPr>
          <w:rFonts w:hint="eastAsia" w:ascii="宋体" w:hAnsi="宋体" w:eastAsia="宋体" w:cs="宋体"/>
        </w:rPr>
        <w:t xml:space="preserve"> 参见最高人民法院（2021）最高法知民终2266号民事判决书</w:t>
      </w:r>
    </w:p>
  </w:footnote>
  <w:footnote w:id="5">
    <w:p w14:paraId="197CC7B7">
      <w:pPr>
        <w:pStyle w:val="6"/>
        <w:rPr>
          <w:rFonts w:ascii="宋体" w:hAnsi="宋体" w:eastAsia="宋体" w:cs="宋体"/>
        </w:rPr>
      </w:pPr>
      <w:r>
        <w:rPr>
          <w:rStyle w:val="10"/>
          <w:rFonts w:hint="eastAsia" w:ascii="宋体" w:hAnsi="宋体" w:eastAsia="宋体" w:cs="宋体"/>
        </w:rPr>
        <w:footnoteRef/>
      </w:r>
      <w:r>
        <w:rPr>
          <w:rFonts w:hint="eastAsia" w:ascii="宋体" w:hAnsi="宋体" w:eastAsia="宋体" w:cs="宋体"/>
        </w:rPr>
        <w:t xml:space="preserve"> 参见新疆维吾尔自治区乌鲁木齐市中级人民法院（2023）新01知民初6号民事判决书。</w:t>
      </w:r>
    </w:p>
  </w:footnote>
  <w:footnote w:id="6">
    <w:p w14:paraId="01719582">
      <w:pPr>
        <w:pStyle w:val="6"/>
        <w:rPr>
          <w:rFonts w:ascii="宋体" w:hAnsi="宋体" w:eastAsia="宋体" w:cs="宋体"/>
        </w:rPr>
      </w:pPr>
      <w:r>
        <w:rPr>
          <w:rStyle w:val="10"/>
          <w:rFonts w:hint="eastAsia" w:ascii="宋体" w:hAnsi="宋体" w:eastAsia="宋体" w:cs="宋体"/>
        </w:rPr>
        <w:footnoteRef/>
      </w:r>
      <w:r>
        <w:rPr>
          <w:rFonts w:hint="eastAsia" w:ascii="宋体" w:hAnsi="宋体" w:eastAsia="宋体" w:cs="宋体"/>
        </w:rPr>
        <w:t xml:space="preserve"> 参见最高人民法院（2021）最高法知民终1844号民事判决书。</w:t>
      </w:r>
    </w:p>
  </w:footnote>
  <w:footnote w:id="7">
    <w:p w14:paraId="0C18149F">
      <w:pPr>
        <w:pStyle w:val="6"/>
        <w:rPr>
          <w:rFonts w:ascii="宋体" w:hAnsi="宋体" w:eastAsia="宋体" w:cs="宋体"/>
        </w:rPr>
      </w:pPr>
      <w:r>
        <w:rPr>
          <w:rStyle w:val="10"/>
          <w:rFonts w:hint="eastAsia" w:ascii="宋体" w:hAnsi="宋体" w:eastAsia="宋体" w:cs="宋体"/>
        </w:rPr>
        <w:footnoteRef/>
      </w:r>
      <w:r>
        <w:rPr>
          <w:rFonts w:hint="eastAsia" w:ascii="宋体" w:hAnsi="宋体" w:eastAsia="宋体" w:cs="宋体"/>
        </w:rPr>
        <w:t xml:space="preserve"> 参见最高人民法院（2021）最高法知民终2298号民事判决书</w:t>
      </w:r>
    </w:p>
  </w:footnote>
  <w:footnote w:id="8">
    <w:p w14:paraId="0F8341B9">
      <w:pPr>
        <w:pStyle w:val="6"/>
        <w:rPr>
          <w:rFonts w:ascii="宋体" w:hAnsi="宋体" w:eastAsia="宋体" w:cs="宋体"/>
        </w:rPr>
      </w:pPr>
      <w:r>
        <w:rPr>
          <w:rStyle w:val="10"/>
          <w:rFonts w:hint="eastAsia" w:ascii="宋体" w:hAnsi="宋体" w:eastAsia="宋体" w:cs="宋体"/>
        </w:rPr>
        <w:footnoteRef/>
      </w:r>
      <w:r>
        <w:rPr>
          <w:rFonts w:hint="eastAsia" w:ascii="宋体" w:hAnsi="宋体" w:eastAsia="宋体" w:cs="宋体"/>
        </w:rPr>
        <w:t xml:space="preserve"> 参见深圳市龙华区人民法院（2021）粤0309民初1256号民事判决书。</w:t>
      </w:r>
    </w:p>
  </w:footnote>
  <w:footnote w:id="9">
    <w:p w14:paraId="326F40C5">
      <w:pPr>
        <w:pStyle w:val="6"/>
        <w:rPr>
          <w:rFonts w:ascii="宋体" w:hAnsi="宋体" w:eastAsia="宋体" w:cs="宋体"/>
        </w:rPr>
      </w:pPr>
      <w:r>
        <w:rPr>
          <w:rStyle w:val="10"/>
          <w:rFonts w:hint="eastAsia" w:ascii="宋体" w:hAnsi="宋体" w:eastAsia="宋体" w:cs="宋体"/>
        </w:rPr>
        <w:footnoteRef/>
      </w:r>
      <w:r>
        <w:rPr>
          <w:rFonts w:hint="eastAsia" w:ascii="宋体" w:hAnsi="宋体" w:eastAsia="宋体" w:cs="宋体"/>
        </w:rPr>
        <w:t xml:space="preserve"> 参见上海知识产权法院（2020）沪73民终596号民事判决书。</w:t>
      </w:r>
    </w:p>
  </w:footnote>
  <w:footnote w:id="10">
    <w:p w14:paraId="6BB137EA">
      <w:pPr>
        <w:pStyle w:val="6"/>
        <w:rPr>
          <w:rFonts w:ascii="宋体" w:hAnsi="宋体" w:eastAsia="宋体" w:cs="宋体"/>
        </w:rPr>
      </w:pPr>
      <w:r>
        <w:rPr>
          <w:rStyle w:val="10"/>
          <w:rFonts w:hint="eastAsia" w:ascii="宋体" w:hAnsi="宋体" w:eastAsia="宋体" w:cs="宋体"/>
        </w:rPr>
        <w:footnoteRef/>
      </w:r>
      <w:r>
        <w:rPr>
          <w:rFonts w:hint="eastAsia" w:ascii="宋体" w:hAnsi="宋体" w:eastAsia="宋体" w:cs="宋体"/>
        </w:rPr>
        <w:t xml:space="preserve"> 参见浙江省宁波市中级人民法院（2021）浙02民初1093号民事判决书。</w:t>
      </w:r>
    </w:p>
  </w:footnote>
  <w:footnote w:id="11">
    <w:p w14:paraId="70D64973">
      <w:pPr>
        <w:pStyle w:val="6"/>
        <w:rPr>
          <w:rFonts w:ascii="宋体" w:hAnsi="宋体" w:eastAsia="宋体" w:cs="宋体"/>
        </w:rPr>
      </w:pPr>
      <w:r>
        <w:rPr>
          <w:rStyle w:val="10"/>
          <w:rFonts w:hint="eastAsia" w:ascii="宋体" w:hAnsi="宋体" w:eastAsia="宋体" w:cs="宋体"/>
        </w:rPr>
        <w:footnoteRef/>
      </w:r>
      <w:r>
        <w:rPr>
          <w:rFonts w:hint="eastAsia" w:ascii="宋体" w:hAnsi="宋体" w:eastAsia="宋体" w:cs="宋体"/>
        </w:rPr>
        <w:t xml:space="preserve"> 参见最高人民法院（2020）最高法知民终726号民事判决书。</w:t>
      </w:r>
    </w:p>
  </w:footnote>
  <w:footnote w:id="12">
    <w:p w14:paraId="3E428D00">
      <w:pPr>
        <w:pStyle w:val="6"/>
        <w:rPr>
          <w:rFonts w:ascii="宋体" w:hAnsi="宋体" w:eastAsia="宋体" w:cs="宋体"/>
        </w:rPr>
      </w:pPr>
      <w:r>
        <w:rPr>
          <w:rStyle w:val="10"/>
          <w:rFonts w:hint="eastAsia" w:ascii="宋体" w:hAnsi="宋体" w:eastAsia="宋体" w:cs="宋体"/>
        </w:rPr>
        <w:footnoteRef/>
      </w:r>
      <w:r>
        <w:rPr>
          <w:rFonts w:hint="eastAsia" w:ascii="宋体" w:hAnsi="宋体" w:eastAsia="宋体" w:cs="宋体"/>
        </w:rPr>
        <w:t xml:space="preserve"> 参见上海市高级人民法院（2019）沪民终129号民事判决书。</w:t>
      </w:r>
    </w:p>
  </w:footnote>
  <w:footnote w:id="13">
    <w:p w14:paraId="13CBFE0E">
      <w:pPr>
        <w:pStyle w:val="6"/>
      </w:pPr>
      <w:r>
        <w:rPr>
          <w:rStyle w:val="10"/>
        </w:rPr>
        <w:footnoteRef/>
      </w:r>
      <w:r>
        <w:t xml:space="preserve"> </w:t>
      </w:r>
      <w:r>
        <w:rPr>
          <w:rFonts w:hint="eastAsia"/>
        </w:rPr>
        <w:t>参见王伟：《论我国商业秘密保护惩罚性赔偿制度的适用》，山东大学2</w:t>
      </w:r>
      <w:r>
        <w:t>022</w:t>
      </w:r>
      <w:r>
        <w:rPr>
          <w:rFonts w:hint="eastAsia"/>
        </w:rPr>
        <w:t>年硕士学位论文，第1</w:t>
      </w:r>
      <w:r>
        <w:t>0</w:t>
      </w:r>
      <w:r>
        <w:rPr>
          <w:rFonts w:hint="eastAsia"/>
        </w:rPr>
        <w:t>页。</w:t>
      </w:r>
    </w:p>
  </w:footnote>
  <w:footnote w:id="14">
    <w:p w14:paraId="7F9058CE">
      <w:pPr>
        <w:pStyle w:val="6"/>
      </w:pPr>
      <w:r>
        <w:rPr>
          <w:rStyle w:val="10"/>
        </w:rPr>
        <w:footnoteRef/>
      </w:r>
      <w:r>
        <w:t xml:space="preserve"> </w:t>
      </w:r>
      <w:r>
        <w:rPr>
          <w:rFonts w:hint="eastAsia"/>
        </w:rPr>
        <w:t>同注1</w:t>
      </w:r>
      <w:r>
        <w:t>1</w:t>
      </w:r>
      <w:r>
        <w:rPr>
          <w:rFonts w:hint="eastAsia"/>
        </w:rPr>
        <w:t>。</w:t>
      </w:r>
    </w:p>
  </w:footnote>
  <w:footnote w:id="15">
    <w:p w14:paraId="68B89718">
      <w:pPr>
        <w:pStyle w:val="6"/>
      </w:pPr>
      <w:r>
        <w:rPr>
          <w:rStyle w:val="10"/>
        </w:rPr>
        <w:footnoteRef/>
      </w:r>
      <w:r>
        <w:t xml:space="preserve"> </w:t>
      </w:r>
      <w:r>
        <w:rPr>
          <w:rFonts w:hint="eastAsia"/>
        </w:rPr>
        <w:t>同注1</w:t>
      </w:r>
      <w:r>
        <w:t>4</w:t>
      </w:r>
      <w:r>
        <w:rPr>
          <w:rFonts w:hint="eastAsia"/>
        </w:rPr>
        <w:t>。</w:t>
      </w:r>
    </w:p>
  </w:footnote>
  <w:footnote w:id="16">
    <w:p w14:paraId="265D23DE">
      <w:pPr>
        <w:pStyle w:val="6"/>
      </w:pPr>
      <w:r>
        <w:rPr>
          <w:rStyle w:val="10"/>
        </w:rPr>
        <w:footnoteRef/>
      </w:r>
      <w:r>
        <w:t xml:space="preserve"> </w:t>
      </w:r>
      <w:r>
        <w:rPr>
          <w:rFonts w:hint="eastAsia"/>
        </w:rPr>
        <w:t>参见冯术杰、夏晔：《警惕惩罚性赔偿在知识产权法领域的泛用》，载《知识产权》2018年第2期。</w:t>
      </w:r>
    </w:p>
  </w:footnote>
  <w:footnote w:id="17">
    <w:p w14:paraId="4A354B93">
      <w:pPr>
        <w:pStyle w:val="6"/>
      </w:pPr>
      <w:r>
        <w:rPr>
          <w:rStyle w:val="10"/>
        </w:rPr>
        <w:footnoteRef/>
      </w:r>
      <w:r>
        <w:t xml:space="preserve"> </w:t>
      </w:r>
      <w:r>
        <w:rPr>
          <w:rFonts w:hint="eastAsia"/>
        </w:rPr>
        <w:t>参见徐聪颖：《制度的迷失与重构：对我国商标权惩罚性赔偿机制的反思》，载《知识产权》2015年第12期。</w:t>
      </w:r>
    </w:p>
  </w:footnote>
  <w:footnote w:id="18">
    <w:p w14:paraId="7AB01E19">
      <w:pPr>
        <w:pStyle w:val="6"/>
      </w:pPr>
      <w:r>
        <w:rPr>
          <w:rStyle w:val="10"/>
        </w:rPr>
        <w:footnoteRef/>
      </w:r>
      <w:r>
        <w:t xml:space="preserve"> </w:t>
      </w:r>
      <w:r>
        <w:rPr>
          <w:rFonts w:hint="eastAsia"/>
        </w:rPr>
        <w:t>参见罗莉：《论惩罚性赔偿在知识产权法中的引进及实施》，载《法学》2014年第4期</w:t>
      </w:r>
    </w:p>
  </w:footnote>
  <w:footnote w:id="19">
    <w:p w14:paraId="556B96CD">
      <w:pPr>
        <w:pStyle w:val="6"/>
      </w:pPr>
      <w:r>
        <w:rPr>
          <w:rStyle w:val="10"/>
        </w:rPr>
        <w:footnoteRef/>
      </w:r>
      <w:r>
        <w:rPr>
          <w:rFonts w:hint="eastAsia" w:ascii="宋体" w:hAnsi="宋体" w:eastAsia="宋体" w:cs="宋体"/>
        </w:rPr>
        <w:t xml:space="preserve"> 参见倪朱亮：《知识产权惩罚性赔偿主观要件的规范构造》，载《法学评论》2023年第5期。</w:t>
      </w:r>
    </w:p>
  </w:footnote>
  <w:footnote w:id="20">
    <w:p w14:paraId="0D846F9C">
      <w:pPr>
        <w:pStyle w:val="6"/>
      </w:pPr>
      <w:r>
        <w:rPr>
          <w:rStyle w:val="10"/>
        </w:rPr>
        <w:footnoteRef/>
      </w:r>
      <w:r>
        <w:t xml:space="preserve"> </w:t>
      </w:r>
      <w:r>
        <w:rPr>
          <w:rFonts w:hint="eastAsia"/>
        </w:rPr>
        <w:t>同注21。</w:t>
      </w:r>
    </w:p>
  </w:footnote>
  <w:footnote w:id="21">
    <w:p w14:paraId="782AD6F6">
      <w:pPr>
        <w:pStyle w:val="6"/>
      </w:pPr>
      <w:r>
        <w:rPr>
          <w:rStyle w:val="10"/>
        </w:rPr>
        <w:footnoteRef/>
      </w:r>
      <w:r>
        <w:t xml:space="preserve"> </w:t>
      </w:r>
      <w:r>
        <w:rPr>
          <w:rFonts w:hint="eastAsia"/>
        </w:rPr>
        <w:t>同注2</w:t>
      </w:r>
      <w:r>
        <w:t>4.</w:t>
      </w:r>
    </w:p>
  </w:footnote>
  <w:footnote w:id="22">
    <w:p w14:paraId="169E52EB">
      <w:pPr>
        <w:pStyle w:val="6"/>
      </w:pPr>
      <w:r>
        <w:rPr>
          <w:rStyle w:val="10"/>
        </w:rPr>
        <w:footnoteRef/>
      </w:r>
      <w:r>
        <w:t xml:space="preserve"> </w:t>
      </w:r>
      <w:r>
        <w:rPr>
          <w:rFonts w:hint="eastAsia"/>
        </w:rPr>
        <w:t>《反不正当竞争法》第1</w:t>
      </w:r>
      <w:r>
        <w:t>7</w:t>
      </w:r>
      <w:r>
        <w:rPr>
          <w:rFonts w:hint="eastAsia"/>
        </w:rPr>
        <w:t>条第三款规定：“因不正当竞争行为受到损害的经营者的赔偿数额，按照其因被侵权所受到的实际损失确定；实际损失难以计算的，按照侵权人因侵权所获得的利益确定。经营者恶意实施侵犯商业秘密行为，情节严重的，可以在按照上述方法确定数额的一倍以上五倍以下确定赔偿数额。赔偿数额还应当包括经营者为制止侵权行为所支付的合理开支。”</w:t>
      </w:r>
    </w:p>
  </w:footnote>
  <w:footnote w:id="23">
    <w:p w14:paraId="7568A236">
      <w:pPr>
        <w:pStyle w:val="6"/>
        <w:rPr>
          <w:rFonts w:ascii="宋体" w:hAnsi="宋体" w:eastAsia="宋体" w:cs="宋体"/>
        </w:rPr>
      </w:pPr>
      <w:r>
        <w:rPr>
          <w:rStyle w:val="10"/>
          <w:rFonts w:hint="eastAsia" w:ascii="宋体" w:hAnsi="宋体" w:eastAsia="宋体" w:cs="宋体"/>
        </w:rPr>
        <w:footnoteRef/>
      </w:r>
      <w:r>
        <w:rPr>
          <w:rFonts w:hint="eastAsia" w:ascii="宋体" w:hAnsi="宋体" w:eastAsia="宋体" w:cs="宋体"/>
        </w:rPr>
        <w:t xml:space="preserve"> 参见梁志文：《知识产权侵权损害赔偿计算方法的制度重构》，载《法治研究》2023年第2期。</w:t>
      </w:r>
    </w:p>
  </w:footnote>
  <w:footnote w:id="24">
    <w:p w14:paraId="71C8F700">
      <w:pPr>
        <w:pStyle w:val="6"/>
      </w:pPr>
      <w:r>
        <w:rPr>
          <w:rStyle w:val="10"/>
        </w:rPr>
        <w:footnoteRef/>
      </w:r>
      <w:r>
        <w:t xml:space="preserve"> </w:t>
      </w:r>
      <w:r>
        <w:rPr>
          <w:rFonts w:hint="eastAsia"/>
        </w:rPr>
        <w:t>同注2</w:t>
      </w:r>
      <w:r>
        <w:t>4</w:t>
      </w:r>
      <w:r>
        <w:rPr>
          <w:rFonts w:hint="eastAsia"/>
        </w:rPr>
        <w:t>。</w:t>
      </w:r>
    </w:p>
  </w:footnote>
  <w:footnote w:id="25">
    <w:p w14:paraId="215BF714">
      <w:pPr>
        <w:pStyle w:val="6"/>
      </w:pPr>
      <w:r>
        <w:rPr>
          <w:rStyle w:val="10"/>
        </w:rPr>
        <w:footnoteRef/>
      </w:r>
      <w:r>
        <w:t xml:space="preserve"> </w:t>
      </w:r>
      <w:r>
        <w:rPr>
          <w:rFonts w:hint="eastAsia"/>
        </w:rPr>
        <w:t>参见成都健心食品有限公司诉四川省广汉卓越味业有限公司等侵害商标权纠纷案，北京知识产权法院民事判决书（2020）京73民终702号。</w:t>
      </w:r>
    </w:p>
  </w:footnote>
  <w:footnote w:id="26">
    <w:p w14:paraId="1B28DB29">
      <w:pPr>
        <w:pStyle w:val="6"/>
      </w:pPr>
      <w:r>
        <w:rPr>
          <w:rStyle w:val="10"/>
        </w:rPr>
        <w:footnoteRef/>
      </w:r>
      <w:r>
        <w:t xml:space="preserve"> </w:t>
      </w:r>
      <w:r>
        <w:rPr>
          <w:rFonts w:hint="eastAsia"/>
        </w:rPr>
        <w:t>《商标法》《种子法》《反不正当竞争法》规定，实际损失数额难以确定的，方能按照侵权获利确定，《著作权法》《专利法》则未规定实际损失数额和侵权获利（违法所得）适用的先后次序。</w:t>
      </w:r>
    </w:p>
  </w:footnote>
  <w:footnote w:id="27">
    <w:p w14:paraId="12453989">
      <w:pPr>
        <w:pStyle w:val="6"/>
        <w:rPr>
          <w:rFonts w:ascii="宋体" w:hAnsi="宋体" w:eastAsia="宋体" w:cs="宋体"/>
        </w:rPr>
      </w:pPr>
      <w:r>
        <w:rPr>
          <w:rStyle w:val="10"/>
          <w:rFonts w:hint="eastAsia" w:ascii="宋体" w:hAnsi="宋体" w:eastAsia="宋体" w:cs="宋体"/>
        </w:rPr>
        <w:footnoteRef/>
      </w:r>
      <w:r>
        <w:rPr>
          <w:rFonts w:hint="eastAsia" w:ascii="宋体" w:hAnsi="宋体" w:eastAsia="宋体" w:cs="宋体"/>
        </w:rPr>
        <w:t xml:space="preserve"> 参见许春明，杨欢欢：《知识产权惩罚性赔偿倍数的认定规则构建》，载《科技与法律（中英文）》2023年第3期。</w:t>
      </w:r>
    </w:p>
  </w:footnote>
  <w:footnote w:id="28">
    <w:p w14:paraId="278A9127">
      <w:pPr>
        <w:pStyle w:val="6"/>
      </w:pPr>
      <w:r>
        <w:rPr>
          <w:rStyle w:val="10"/>
        </w:rPr>
        <w:footnoteRef/>
      </w:r>
      <w:r>
        <w:t xml:space="preserve"> </w:t>
      </w:r>
      <w:r>
        <w:rPr>
          <w:rFonts w:hint="eastAsia"/>
        </w:rPr>
        <w:t>同注2</w:t>
      </w:r>
      <w:r>
        <w:t>4</w:t>
      </w:r>
      <w:r>
        <w:rPr>
          <w:rFonts w:hint="eastAsia"/>
        </w:rPr>
        <w:t>。</w:t>
      </w:r>
    </w:p>
  </w:footnote>
  <w:footnote w:id="29">
    <w:p w14:paraId="4CBFE292">
      <w:pPr>
        <w:pStyle w:val="6"/>
      </w:pPr>
      <w:r>
        <w:rPr>
          <w:rStyle w:val="10"/>
        </w:rPr>
        <w:footnoteRef/>
      </w:r>
      <w:r>
        <w:t xml:space="preserve"> </w:t>
      </w:r>
      <w:r>
        <w:rPr>
          <w:rFonts w:hint="eastAsia"/>
        </w:rPr>
        <w:t>参见张红：《恶意侵犯商标权之惩罚性赔偿》，载《法商研究》2019年第4期。</w:t>
      </w:r>
    </w:p>
  </w:footnote>
  <w:footnote w:id="30">
    <w:p w14:paraId="1DA8962F">
      <w:pPr>
        <w:pStyle w:val="6"/>
      </w:pPr>
      <w:r>
        <w:rPr>
          <w:rStyle w:val="10"/>
          <w:rFonts w:hint="eastAsia" w:ascii="宋体" w:hAnsi="宋体" w:eastAsia="宋体" w:cs="宋体"/>
        </w:rPr>
        <w:footnoteRef/>
      </w:r>
      <w:r>
        <w:rPr>
          <w:rFonts w:hint="eastAsia" w:ascii="宋体" w:hAnsi="宋体" w:eastAsia="宋体" w:cs="宋体"/>
        </w:rPr>
        <w:t xml:space="preserve"> 参见黄细江：《知识产权惩罚性赔偿的理论渊源与司法适用》，载《知识产权》2024年第2期。</w:t>
      </w:r>
    </w:p>
  </w:footnote>
  <w:footnote w:id="31">
    <w:p w14:paraId="1A524B31">
      <w:pPr>
        <w:pStyle w:val="6"/>
      </w:pPr>
      <w:r>
        <w:rPr>
          <w:rStyle w:val="10"/>
        </w:rPr>
        <w:footnoteRef/>
      </w:r>
      <w:r>
        <w:rPr>
          <w:rFonts w:hint="eastAsia" w:ascii="宋体" w:hAnsi="宋体" w:eastAsia="宋体" w:cs="宋体"/>
        </w:rPr>
        <w:t xml:space="preserve"> 参见牛正浩：《知识产权刑民交叉程序优化理论研究》，载《湖南社会科学》2024年第2期。</w:t>
      </w:r>
    </w:p>
  </w:footnote>
  <w:footnote w:id="32">
    <w:p w14:paraId="082C410B">
      <w:pPr>
        <w:pStyle w:val="6"/>
        <w:rPr>
          <w:rFonts w:ascii="宋体" w:hAnsi="宋体" w:eastAsia="宋体" w:cs="宋体"/>
        </w:rPr>
      </w:pPr>
      <w:r>
        <w:rPr>
          <w:rStyle w:val="10"/>
        </w:rPr>
        <w:footnoteRef/>
      </w:r>
      <w:r>
        <w:t xml:space="preserve"> </w:t>
      </w:r>
      <w:r>
        <w:rPr>
          <w:rFonts w:hint="eastAsia"/>
        </w:rPr>
        <w:t>参见</w:t>
      </w:r>
      <w:r>
        <w:rPr>
          <w:rFonts w:hint="eastAsia" w:ascii="宋体" w:hAnsi="宋体" w:eastAsia="宋体" w:cs="宋体"/>
        </w:rPr>
        <w:t>王利明：《论我国民法典中侵害知识产权惩罚性赔偿的规则》，载《政治与法律》2019年第8期。</w:t>
      </w:r>
    </w:p>
  </w:footnote>
  <w:footnote w:id="33">
    <w:p w14:paraId="38F8A8E7">
      <w:pPr>
        <w:pStyle w:val="6"/>
        <w:rPr>
          <w:rFonts w:ascii="宋体" w:hAnsi="宋体" w:eastAsia="宋体" w:cs="宋体"/>
        </w:rPr>
      </w:pPr>
      <w:r>
        <w:rPr>
          <w:rStyle w:val="10"/>
          <w:rFonts w:hint="eastAsia" w:ascii="宋体" w:hAnsi="宋体" w:eastAsia="宋体" w:cs="宋体"/>
        </w:rPr>
        <w:footnoteRef/>
      </w:r>
      <w:r>
        <w:rPr>
          <w:rFonts w:hint="eastAsia" w:ascii="宋体" w:hAnsi="宋体" w:eastAsia="宋体" w:cs="宋体"/>
        </w:rPr>
        <w:t xml:space="preserve"> 参见和育东：《知识产权惩罚性赔偿“情节严重”要件的解释进路》，载《暨南学报（哲学社会科学版）2023年第7期。</w:t>
      </w:r>
    </w:p>
  </w:footnote>
  <w:footnote w:id="34">
    <w:p w14:paraId="1C48E664">
      <w:pPr>
        <w:pStyle w:val="6"/>
        <w:rPr>
          <w:rFonts w:ascii="宋体" w:hAnsi="宋体" w:eastAsia="宋体" w:cs="宋体"/>
        </w:rPr>
      </w:pPr>
      <w:r>
        <w:rPr>
          <w:rStyle w:val="10"/>
        </w:rPr>
        <w:footnoteRef/>
      </w:r>
      <w:r>
        <w:rPr>
          <w:rFonts w:hint="eastAsia" w:ascii="宋体" w:hAnsi="宋体" w:eastAsia="宋体" w:cs="宋体"/>
        </w:rPr>
        <w:t xml:space="preserve"> 参见最高人民法院（2019）最高法知民终562号。</w:t>
      </w:r>
    </w:p>
  </w:footnote>
  <w:footnote w:id="35">
    <w:p w14:paraId="18FF973D">
      <w:pPr>
        <w:pStyle w:val="6"/>
      </w:pPr>
      <w:r>
        <w:rPr>
          <w:rStyle w:val="10"/>
        </w:rPr>
        <w:footnoteRef/>
      </w:r>
      <w:r>
        <w:t xml:space="preserve"> </w:t>
      </w:r>
      <w:r>
        <w:rPr>
          <w:rFonts w:hint="eastAsia"/>
        </w:rPr>
        <w:t>参见</w:t>
      </w:r>
      <w:r>
        <w:rPr>
          <w:rFonts w:hint="eastAsia" w:ascii="宋体" w:hAnsi="宋体" w:eastAsia="宋体" w:cs="宋体"/>
        </w:rPr>
        <w:t>徐卓斌，张钟月：《商业秘密侵权案件惩罚性赔偿的适用》，载《法律适用》2021年第4期。</w:t>
      </w:r>
    </w:p>
    <w:p w14:paraId="5753CAE4">
      <w:pPr>
        <w:pStyle w:val="6"/>
      </w:pPr>
    </w:p>
  </w:footnote>
  <w:footnote w:id="36">
    <w:p w14:paraId="34688F9F">
      <w:pPr>
        <w:pStyle w:val="6"/>
      </w:pPr>
      <w:r>
        <w:rPr>
          <w:rStyle w:val="10"/>
        </w:rPr>
        <w:footnoteRef/>
      </w:r>
      <w:r>
        <w:t xml:space="preserve"> </w:t>
      </w:r>
      <w:r>
        <w:rPr>
          <w:rFonts w:hint="eastAsia" w:ascii="宋体" w:hAnsi="宋体" w:eastAsia="宋体" w:cs="宋体"/>
        </w:rPr>
        <w:t>倪朱亮：《比例原则在知识产权惩罚性赔偿金量定中的运用》，载《知识产权》2021年第7期。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FFD65D"/>
    <w:multiLevelType w:val="singleLevel"/>
    <w:tmpl w:val="AEFFD65D"/>
    <w:lvl w:ilvl="0" w:tentative="0">
      <w:start w:val="1"/>
      <w:numFmt w:val="decimal"/>
      <w:suff w:val="space"/>
      <w:lvlText w:val="%1."/>
      <w:lvlJc w:val="left"/>
    </w:lvl>
  </w:abstractNum>
  <w:abstractNum w:abstractNumId="1">
    <w:nsid w:val="D7FB363B"/>
    <w:multiLevelType w:val="singleLevel"/>
    <w:tmpl w:val="D7FB363B"/>
    <w:lvl w:ilvl="0" w:tentative="0">
      <w:start w:val="1"/>
      <w:numFmt w:val="decimal"/>
      <w:suff w:val="space"/>
      <w:lvlText w:val="%1."/>
      <w:lvlJc w:val="left"/>
    </w:lvl>
  </w:abstractNum>
  <w:abstractNum w:abstractNumId="2">
    <w:nsid w:val="EE37F385"/>
    <w:multiLevelType w:val="singleLevel"/>
    <w:tmpl w:val="EE37F385"/>
    <w:lvl w:ilvl="0" w:tentative="0">
      <w:start w:val="1"/>
      <w:numFmt w:val="chineseCounting"/>
      <w:suff w:val="space"/>
      <w:lvlText w:val="（%1）"/>
      <w:lvlJc w:val="left"/>
      <w:rPr>
        <w:rFonts w:hint="eastAsia"/>
      </w:rPr>
    </w:lvl>
  </w:abstractNum>
  <w:abstractNum w:abstractNumId="3">
    <w:nsid w:val="FDD59509"/>
    <w:multiLevelType w:val="singleLevel"/>
    <w:tmpl w:val="FDD59509"/>
    <w:lvl w:ilvl="0" w:tentative="0">
      <w:start w:val="1"/>
      <w:numFmt w:val="decimal"/>
      <w:suff w:val="space"/>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footnotePr>
    <w:footnote w:id="74"/>
    <w:footnote w:id="75"/>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64FAD7C"/>
    <w:rsid w:val="00065FB2"/>
    <w:rsid w:val="000749DB"/>
    <w:rsid w:val="00076318"/>
    <w:rsid w:val="000D7AF3"/>
    <w:rsid w:val="000E1B10"/>
    <w:rsid w:val="00140B58"/>
    <w:rsid w:val="001425B4"/>
    <w:rsid w:val="001546F9"/>
    <w:rsid w:val="00182912"/>
    <w:rsid w:val="001A1085"/>
    <w:rsid w:val="001D30E4"/>
    <w:rsid w:val="001E58ED"/>
    <w:rsid w:val="001F1E3E"/>
    <w:rsid w:val="001F6737"/>
    <w:rsid w:val="00216E59"/>
    <w:rsid w:val="00223135"/>
    <w:rsid w:val="0025278E"/>
    <w:rsid w:val="002530DD"/>
    <w:rsid w:val="002815AF"/>
    <w:rsid w:val="002A2FF7"/>
    <w:rsid w:val="002A3CD7"/>
    <w:rsid w:val="002D046A"/>
    <w:rsid w:val="002D245D"/>
    <w:rsid w:val="002E1F7D"/>
    <w:rsid w:val="003231D7"/>
    <w:rsid w:val="00326268"/>
    <w:rsid w:val="003664FD"/>
    <w:rsid w:val="00397E3E"/>
    <w:rsid w:val="003A235A"/>
    <w:rsid w:val="003B511B"/>
    <w:rsid w:val="003C08AD"/>
    <w:rsid w:val="00402773"/>
    <w:rsid w:val="00415B37"/>
    <w:rsid w:val="00471318"/>
    <w:rsid w:val="00475015"/>
    <w:rsid w:val="004764A5"/>
    <w:rsid w:val="004831E1"/>
    <w:rsid w:val="004A6AC1"/>
    <w:rsid w:val="004C48E4"/>
    <w:rsid w:val="004C59DF"/>
    <w:rsid w:val="004C6795"/>
    <w:rsid w:val="004C7B59"/>
    <w:rsid w:val="004D0AD0"/>
    <w:rsid w:val="004E0A71"/>
    <w:rsid w:val="005024BF"/>
    <w:rsid w:val="00503970"/>
    <w:rsid w:val="005055DF"/>
    <w:rsid w:val="00505C4E"/>
    <w:rsid w:val="00511A94"/>
    <w:rsid w:val="00517F0D"/>
    <w:rsid w:val="005337C8"/>
    <w:rsid w:val="005964DC"/>
    <w:rsid w:val="00612CC0"/>
    <w:rsid w:val="0063370D"/>
    <w:rsid w:val="00644E2C"/>
    <w:rsid w:val="00650C1E"/>
    <w:rsid w:val="00686505"/>
    <w:rsid w:val="006B3F56"/>
    <w:rsid w:val="006B5D8A"/>
    <w:rsid w:val="006C3846"/>
    <w:rsid w:val="006D7E0E"/>
    <w:rsid w:val="006E1B76"/>
    <w:rsid w:val="006F2795"/>
    <w:rsid w:val="006F768B"/>
    <w:rsid w:val="00723D97"/>
    <w:rsid w:val="0078392F"/>
    <w:rsid w:val="007940C1"/>
    <w:rsid w:val="007A2770"/>
    <w:rsid w:val="007F2A0B"/>
    <w:rsid w:val="0082331C"/>
    <w:rsid w:val="008246A8"/>
    <w:rsid w:val="008340FE"/>
    <w:rsid w:val="008555A8"/>
    <w:rsid w:val="008C569A"/>
    <w:rsid w:val="008D34FE"/>
    <w:rsid w:val="009315B9"/>
    <w:rsid w:val="00932970"/>
    <w:rsid w:val="00937ECB"/>
    <w:rsid w:val="009520BB"/>
    <w:rsid w:val="00977D7E"/>
    <w:rsid w:val="00980EE3"/>
    <w:rsid w:val="00987715"/>
    <w:rsid w:val="009A058B"/>
    <w:rsid w:val="009B588E"/>
    <w:rsid w:val="009C031F"/>
    <w:rsid w:val="009D25DC"/>
    <w:rsid w:val="009D3B69"/>
    <w:rsid w:val="009E4AB4"/>
    <w:rsid w:val="00A01F75"/>
    <w:rsid w:val="00A233A4"/>
    <w:rsid w:val="00A277C2"/>
    <w:rsid w:val="00A31EDC"/>
    <w:rsid w:val="00A65CD8"/>
    <w:rsid w:val="00A8001C"/>
    <w:rsid w:val="00A82853"/>
    <w:rsid w:val="00AB02D8"/>
    <w:rsid w:val="00AB04A9"/>
    <w:rsid w:val="00AB424D"/>
    <w:rsid w:val="00AC4B14"/>
    <w:rsid w:val="00AE1DCE"/>
    <w:rsid w:val="00AE2ABB"/>
    <w:rsid w:val="00AE69BD"/>
    <w:rsid w:val="00B02262"/>
    <w:rsid w:val="00B141AE"/>
    <w:rsid w:val="00B30198"/>
    <w:rsid w:val="00B64BED"/>
    <w:rsid w:val="00B92DF4"/>
    <w:rsid w:val="00BC4541"/>
    <w:rsid w:val="00BF0CA5"/>
    <w:rsid w:val="00BF6567"/>
    <w:rsid w:val="00C00204"/>
    <w:rsid w:val="00C60E1D"/>
    <w:rsid w:val="00C679B3"/>
    <w:rsid w:val="00C70067"/>
    <w:rsid w:val="00C800B5"/>
    <w:rsid w:val="00CC471B"/>
    <w:rsid w:val="00CD009D"/>
    <w:rsid w:val="00D7421F"/>
    <w:rsid w:val="00D7613C"/>
    <w:rsid w:val="00D80333"/>
    <w:rsid w:val="00D836F3"/>
    <w:rsid w:val="00DD599E"/>
    <w:rsid w:val="00DE3A14"/>
    <w:rsid w:val="00E054ED"/>
    <w:rsid w:val="00E44F8B"/>
    <w:rsid w:val="00E453A6"/>
    <w:rsid w:val="00E6572D"/>
    <w:rsid w:val="00E66930"/>
    <w:rsid w:val="00EC3F3F"/>
    <w:rsid w:val="00EF66BB"/>
    <w:rsid w:val="00F01A99"/>
    <w:rsid w:val="00F01B72"/>
    <w:rsid w:val="00F1190F"/>
    <w:rsid w:val="00F655F2"/>
    <w:rsid w:val="00F708E9"/>
    <w:rsid w:val="00F74838"/>
    <w:rsid w:val="00F840DC"/>
    <w:rsid w:val="00FB4B0D"/>
    <w:rsid w:val="00FB72EF"/>
    <w:rsid w:val="00FF13DE"/>
    <w:rsid w:val="0CBB7F6A"/>
    <w:rsid w:val="16EEFFE5"/>
    <w:rsid w:val="27DD4CA6"/>
    <w:rsid w:val="35DF7F66"/>
    <w:rsid w:val="396EBA64"/>
    <w:rsid w:val="3BD5789F"/>
    <w:rsid w:val="3D57B148"/>
    <w:rsid w:val="3FF606CF"/>
    <w:rsid w:val="44416A99"/>
    <w:rsid w:val="4DF73834"/>
    <w:rsid w:val="4E7EBF58"/>
    <w:rsid w:val="4FFFE08D"/>
    <w:rsid w:val="513FBA58"/>
    <w:rsid w:val="53F7A166"/>
    <w:rsid w:val="5CA6862A"/>
    <w:rsid w:val="5DE72099"/>
    <w:rsid w:val="5F54CDA8"/>
    <w:rsid w:val="5F9E96E8"/>
    <w:rsid w:val="5FB14591"/>
    <w:rsid w:val="5FFA93F3"/>
    <w:rsid w:val="63F5B73A"/>
    <w:rsid w:val="674F5A5E"/>
    <w:rsid w:val="67D784A8"/>
    <w:rsid w:val="6ADF861B"/>
    <w:rsid w:val="6EBF8DE6"/>
    <w:rsid w:val="6F5D2C34"/>
    <w:rsid w:val="6FB27B2E"/>
    <w:rsid w:val="6FF9D1AF"/>
    <w:rsid w:val="70F6C92C"/>
    <w:rsid w:val="72D38521"/>
    <w:rsid w:val="739F2A1A"/>
    <w:rsid w:val="76FFA555"/>
    <w:rsid w:val="77BD3541"/>
    <w:rsid w:val="77BF020B"/>
    <w:rsid w:val="799F8DCC"/>
    <w:rsid w:val="79A5C7F4"/>
    <w:rsid w:val="7B8F2EC4"/>
    <w:rsid w:val="7D5FC60C"/>
    <w:rsid w:val="7DD189D2"/>
    <w:rsid w:val="7EEE9853"/>
    <w:rsid w:val="7EFB50EB"/>
    <w:rsid w:val="7EFEB151"/>
    <w:rsid w:val="7EFF9B52"/>
    <w:rsid w:val="7FFD3D2C"/>
    <w:rsid w:val="973E45BD"/>
    <w:rsid w:val="A7DDBDC8"/>
    <w:rsid w:val="ABBDC28C"/>
    <w:rsid w:val="ABFA8A9E"/>
    <w:rsid w:val="ACDFDA3C"/>
    <w:rsid w:val="AFEBE9A2"/>
    <w:rsid w:val="AFFF6365"/>
    <w:rsid w:val="B19D6B41"/>
    <w:rsid w:val="B47A3207"/>
    <w:rsid w:val="B4FFAEC3"/>
    <w:rsid w:val="B57F9BD4"/>
    <w:rsid w:val="B5BD6E49"/>
    <w:rsid w:val="B64FAD7C"/>
    <w:rsid w:val="BA2DE227"/>
    <w:rsid w:val="BBBF631B"/>
    <w:rsid w:val="BD39F157"/>
    <w:rsid w:val="BECB2E92"/>
    <w:rsid w:val="C57E4F6E"/>
    <w:rsid w:val="C7F7ABF1"/>
    <w:rsid w:val="CBF75BE7"/>
    <w:rsid w:val="CF7B590D"/>
    <w:rsid w:val="CFE3E1D1"/>
    <w:rsid w:val="D5DF4E1B"/>
    <w:rsid w:val="D75FF7BA"/>
    <w:rsid w:val="DBFF8062"/>
    <w:rsid w:val="DF79F77E"/>
    <w:rsid w:val="DFFA531C"/>
    <w:rsid w:val="EA7FE0BE"/>
    <w:rsid w:val="EF5B3CBA"/>
    <w:rsid w:val="EFF1D628"/>
    <w:rsid w:val="F1FD12EA"/>
    <w:rsid w:val="F27F3AD6"/>
    <w:rsid w:val="F2D7FC5E"/>
    <w:rsid w:val="F3F91B2A"/>
    <w:rsid w:val="F4FFAF51"/>
    <w:rsid w:val="F7EB55B5"/>
    <w:rsid w:val="F7EEC3D9"/>
    <w:rsid w:val="F7F60EEB"/>
    <w:rsid w:val="F7F7F837"/>
    <w:rsid w:val="FB971C58"/>
    <w:rsid w:val="FBF7D1EA"/>
    <w:rsid w:val="FC7F7AAB"/>
    <w:rsid w:val="FC8F7263"/>
    <w:rsid w:val="FD7BBE61"/>
    <w:rsid w:val="FE7ED6BC"/>
    <w:rsid w:val="FF1A851E"/>
    <w:rsid w:val="FF7F1CC0"/>
    <w:rsid w:val="FF93CF54"/>
    <w:rsid w:val="FFBFFEA0"/>
    <w:rsid w:val="FFCE7949"/>
    <w:rsid w:val="FFEB2B1E"/>
    <w:rsid w:val="FFF9B78A"/>
    <w:rsid w:val="FFFF2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4"/>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1"/>
    <w:qFormat/>
    <w:uiPriority w:val="0"/>
    <w:pPr>
      <w:snapToGrid w:val="0"/>
      <w:jc w:val="left"/>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footnote reference"/>
    <w:basedOn w:val="9"/>
    <w:qFormat/>
    <w:uiPriority w:val="0"/>
    <w:rPr>
      <w:vertAlign w:val="superscript"/>
    </w:rPr>
  </w:style>
  <w:style w:type="character" w:customStyle="1" w:styleId="11">
    <w:name w:val="脚注文本 Char"/>
    <w:basedOn w:val="9"/>
    <w:link w:val="6"/>
    <w:uiPriority w:val="0"/>
    <w:rPr>
      <w:rFonts w:asciiTheme="minorHAnsi" w:hAnsiTheme="minorHAnsi" w:eastAsiaTheme="minorEastAsia" w:cstheme="minorBidi"/>
      <w:kern w:val="2"/>
      <w:sz w:val="18"/>
      <w:szCs w:val="24"/>
    </w:rPr>
  </w:style>
  <w:style w:type="character" w:customStyle="1" w:styleId="12">
    <w:name w:val="页眉 Char"/>
    <w:basedOn w:val="9"/>
    <w:link w:val="5"/>
    <w:uiPriority w:val="0"/>
    <w:rPr>
      <w:rFonts w:asciiTheme="minorHAnsi" w:hAnsiTheme="minorHAnsi" w:eastAsiaTheme="minorEastAsia" w:cstheme="minorBidi"/>
      <w:kern w:val="2"/>
      <w:sz w:val="18"/>
      <w:szCs w:val="18"/>
    </w:rPr>
  </w:style>
  <w:style w:type="character" w:customStyle="1" w:styleId="13">
    <w:name w:val="页脚 Char"/>
    <w:basedOn w:val="9"/>
    <w:link w:val="4"/>
    <w:qFormat/>
    <w:uiPriority w:val="0"/>
    <w:rPr>
      <w:rFonts w:asciiTheme="minorHAnsi" w:hAnsiTheme="minorHAnsi" w:eastAsiaTheme="minorEastAsia" w:cstheme="minorBidi"/>
      <w:kern w:val="2"/>
      <w:sz w:val="18"/>
      <w:szCs w:val="18"/>
    </w:rPr>
  </w:style>
  <w:style w:type="character" w:customStyle="1" w:styleId="14">
    <w:name w:val="标题 2 Char"/>
    <w:basedOn w:val="9"/>
    <w:link w:val="2"/>
    <w:qFormat/>
    <w:uiPriority w:val="0"/>
    <w:rPr>
      <w:rFonts w:asciiTheme="majorHAnsi" w:hAnsiTheme="majorHAnsi" w:eastAsiaTheme="majorEastAsia" w:cstheme="majorBidi"/>
      <w:b/>
      <w:bCs/>
      <w:kern w:val="2"/>
      <w:sz w:val="32"/>
      <w:szCs w:val="32"/>
    </w:rPr>
  </w:style>
  <w:style w:type="character" w:customStyle="1" w:styleId="15">
    <w:name w:val="批注框文本 Char"/>
    <w:basedOn w:val="9"/>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24037;&#20316;&#31807;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40" b="1" i="0" u="none" strike="noStrike" kern="1200" baseline="0">
                <a:solidFill>
                  <a:sysClr val="windowText" lastClr="000000">
                    <a:lumMod val="75000"/>
                    <a:lumOff val="25000"/>
                  </a:sysClr>
                </a:solidFill>
                <a:latin typeface="宋体" panose="02010600030101010101" charset="-122"/>
                <a:ea typeface="宋体" panose="02010600030101010101" charset="-122"/>
                <a:cs typeface="宋体" panose="02010600030101010101" charset="-122"/>
                <a:sym typeface="宋体" panose="02010600030101010101" charset="-122"/>
              </a:defRPr>
            </a:pPr>
            <a:r>
              <a:rPr lang="zh-CN" altLang="en-US" sz="1200">
                <a:latin typeface="宋体" panose="02010600030101010101" charset="-122"/>
                <a:ea typeface="宋体" panose="02010600030101010101" charset="-122"/>
                <a:cs typeface="宋体" panose="02010600030101010101" charset="-122"/>
                <a:sym typeface="宋体" panose="02010600030101010101" charset="-122"/>
              </a:rPr>
              <a:t>商业秘密侵权惩罚性赔偿典型案例判赔支持率</a:t>
            </a:r>
            <a:endParaRPr lang="zh-CN" altLang="en-US" sz="1200">
              <a:latin typeface="宋体" panose="02010600030101010101" charset="-122"/>
              <a:ea typeface="宋体" panose="02010600030101010101" charset="-122"/>
              <a:cs typeface="宋体" panose="02010600030101010101" charset="-122"/>
              <a:sym typeface="宋体" panose="02010600030101010101" charset="-122"/>
            </a:endParaRPr>
          </a:p>
        </c:rich>
      </c:tx>
      <c:layout/>
      <c:overlay val="0"/>
      <c:spPr>
        <a:noFill/>
        <a:ln>
          <a:noFill/>
        </a:ln>
        <a:effectLst/>
      </c:spPr>
    </c:title>
    <c:autoTitleDeleted val="0"/>
    <c:plotArea>
      <c:layout>
        <c:manualLayout>
          <c:layoutTarget val="inner"/>
          <c:xMode val="edge"/>
          <c:yMode val="edge"/>
          <c:x val="0.108395974009428"/>
          <c:y val="0.211408556417313"/>
          <c:w val="0.839368072365906"/>
          <c:h val="0.663047285464098"/>
        </c:manualLayout>
      </c:layout>
      <c:lineChart>
        <c:grouping val="standard"/>
        <c:varyColors val="0"/>
        <c:ser>
          <c:idx val="0"/>
          <c:order val="0"/>
          <c:spPr>
            <a:ln w="28575" cap="rnd" cmpd="sng" algn="ctr">
              <a:solidFill>
                <a:srgbClr val="4874CB"/>
              </a:solidFill>
              <a:prstDash val="solid"/>
              <a:round/>
            </a:ln>
            <a:effectLst/>
          </c:spPr>
          <c:marker>
            <c:symbol val="none"/>
          </c:marker>
          <c:dLbls>
            <c:delete val="1"/>
          </c:dLbls>
          <c:val>
            <c:numRef>
              <c:f>[工作簿2]Sheet1!$C$2:$C$12</c:f>
              <c:numCache>
                <c:formatCode>0.00%</c:formatCode>
                <c:ptCount val="11"/>
                <c:pt idx="0">
                  <c:v>0.177647058823529</c:v>
                </c:pt>
                <c:pt idx="1">
                  <c:v>0.0287759746771423</c:v>
                </c:pt>
                <c:pt idx="2">
                  <c:v>0.333333333333333</c:v>
                </c:pt>
                <c:pt idx="3">
                  <c:v>0.153962645128723</c:v>
                </c:pt>
                <c:pt idx="4">
                  <c:v>0.175</c:v>
                </c:pt>
                <c:pt idx="5">
                  <c:v>0.326891544525673</c:v>
                </c:pt>
                <c:pt idx="6">
                  <c:v>0.098135426889107</c:v>
                </c:pt>
                <c:pt idx="7">
                  <c:v>0.43024861878453</c:v>
                </c:pt>
                <c:pt idx="8">
                  <c:v>0.322925082247116</c:v>
                </c:pt>
                <c:pt idx="9">
                  <c:v>0.3875</c:v>
                </c:pt>
                <c:pt idx="10">
                  <c:v>0.016</c:v>
                </c:pt>
              </c:numCache>
            </c:numRef>
          </c:val>
          <c:smooth val="0"/>
        </c:ser>
        <c:dLbls>
          <c:showLegendKey val="0"/>
          <c:showVal val="0"/>
          <c:showCatName val="0"/>
          <c:showSerName val="0"/>
          <c:showPercent val="0"/>
          <c:showBubbleSize val="0"/>
        </c:dLbls>
        <c:marker val="0"/>
        <c:smooth val="0"/>
        <c:axId val="310957184"/>
        <c:axId val="310969088"/>
      </c:lineChart>
      <c:catAx>
        <c:axId val="310957184"/>
        <c:scaling>
          <c:orientation val="minMax"/>
        </c:scaling>
        <c:delete val="0"/>
        <c:axPos val="b"/>
        <c:majorTickMark val="none"/>
        <c:minorTickMark val="none"/>
        <c:tickLblPos val="nextTo"/>
        <c:spPr>
          <a:noFill/>
          <a:ln w="9525" cap="flat" cmpd="sng" algn="ctr">
            <a:solidFill>
              <a:sysClr val="windowText" lastClr="000000">
                <a:lumMod val="15000"/>
                <a:lumOff val="85000"/>
              </a:sysClr>
            </a:solidFill>
            <a:prstDash val="solid"/>
            <a:round/>
          </a:ln>
          <a:effectLst/>
        </c:spPr>
        <c:txPr>
          <a:bodyPr rot="-60000000" spcFirstLastPara="0" vertOverflow="ellipsis" vert="horz" wrap="square" anchor="ctr" anchorCtr="1"/>
          <a:lstStyle/>
          <a:p>
            <a:pPr>
              <a:defRPr lang="zh-CN" sz="1200" b="0" i="0" u="none" strike="noStrike" kern="1200" baseline="0">
                <a:solidFill>
                  <a:sysClr val="windowText" lastClr="000000">
                    <a:lumMod val="65000"/>
                    <a:lumOff val="35000"/>
                  </a:sysClr>
                </a:solidFill>
                <a:latin typeface="宋体" panose="02010600030101010101" charset="-122"/>
                <a:ea typeface="宋体" panose="02010600030101010101" charset="-122"/>
                <a:cs typeface="宋体" panose="02010600030101010101" charset="-122"/>
                <a:sym typeface="宋体" panose="02010600030101010101" charset="-122"/>
              </a:defRPr>
            </a:pPr>
          </a:p>
        </c:txPr>
        <c:crossAx val="310969088"/>
        <c:crosses val="autoZero"/>
        <c:auto val="1"/>
        <c:lblAlgn val="ctr"/>
        <c:lblOffset val="100"/>
        <c:noMultiLvlLbl val="0"/>
      </c:catAx>
      <c:valAx>
        <c:axId val="310969088"/>
        <c:scaling>
          <c:orientation val="minMax"/>
        </c:scaling>
        <c:delete val="0"/>
        <c:axPos val="l"/>
        <c:majorGridlines>
          <c:spPr>
            <a:ln w="9525" cap="flat" cmpd="sng" algn="ctr">
              <a:solidFill>
                <a:sysClr val="window" lastClr="FFFFFF">
                  <a:lumMod val="90200"/>
                </a:sysClr>
              </a:solidFill>
              <a:prstDash val="solid"/>
              <a:round/>
            </a:ln>
            <a:effectLst/>
          </c:spPr>
        </c:majorGridlines>
        <c:numFmt formatCode="0.00%"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1200" b="0" i="0" u="none" strike="noStrike" kern="1200" baseline="0">
                <a:solidFill>
                  <a:sysClr val="windowText" lastClr="000000">
                    <a:lumMod val="65000"/>
                    <a:lumOff val="35000"/>
                  </a:sysClr>
                </a:solidFill>
                <a:latin typeface="宋体" panose="02010600030101010101" charset="-122"/>
                <a:ea typeface="宋体" panose="02010600030101010101" charset="-122"/>
                <a:cs typeface="宋体" panose="02010600030101010101" charset="-122"/>
                <a:sym typeface="宋体" panose="02010600030101010101" charset="-122"/>
              </a:defRPr>
            </a:pPr>
          </a:p>
        </c:txPr>
        <c:crossAx val="310957184"/>
        <c:crosses val="autoZero"/>
        <c:crossBetween val="between"/>
      </c:valAx>
      <c:spPr>
        <a:noFill/>
        <a:ln>
          <a:noFill/>
        </a:ln>
        <a:effectLst/>
      </c:spPr>
    </c:plotArea>
    <c:plotVisOnly val="1"/>
    <c:dispBlanksAs val="gap"/>
    <c:showDLblsOverMax val="0"/>
    <c:extLst>
      <c:ext uri="{0b15fc19-7d7d-44ad-8c2d-2c3a37ce22c3}">
        <chartProps xmlns="https://web.wps.cn/et/2018/main" chartId="{bbd40eeb-0597-498e-9a12-8246ea7ec7a8}"/>
      </c:ext>
    </c:extLst>
  </c:chart>
  <c:spPr>
    <a:solidFill>
      <a:sysClr val="window" lastClr="FFFFFF"/>
    </a:solidFill>
    <a:ln w="9525" cap="flat" cmpd="sng" algn="ctr">
      <a:solidFill>
        <a:sysClr val="windowText" lastClr="000000">
          <a:lumMod val="15000"/>
          <a:lumOff val="85000"/>
        </a:sysClr>
      </a:solidFill>
      <a:prstDash val="solid"/>
      <a:round/>
    </a:ln>
    <a:effectLst/>
  </c:spPr>
  <c:txPr>
    <a:bodyPr/>
    <a:lstStyle/>
    <a:p>
      <a:pPr>
        <a:defRPr lang="zh-CN" sz="1200">
          <a:latin typeface="宋体" panose="02010600030101010101" charset="-122"/>
          <a:ea typeface="宋体" panose="02010600030101010101" charset="-122"/>
          <a:cs typeface="宋体" panose="02010600030101010101" charset="-122"/>
          <a:sym typeface="宋体" panose="02010600030101010101" charset="-122"/>
        </a:defRPr>
      </a:pPr>
    </a:p>
  </c:txPr>
  <c:externalData r:id="rId1">
    <c:autoUpdate val="0"/>
  </c:externalData>
</c:chartSpac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E20E0C-28B1-44B7-94B6-E1467A56BFC3}">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10984</Words>
  <Characters>11298</Characters>
  <Lines>90</Lines>
  <Paragraphs>25</Paragraphs>
  <TotalTime>262</TotalTime>
  <ScaleCrop>false</ScaleCrop>
  <LinksUpToDate>false</LinksUpToDate>
  <CharactersWithSpaces>11340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2024-06-30T22:55:00Z</dcterms:created>
  <dc:creator>憬鱼</dc:creator>
  <cp:lastModifiedBy>AYZYXJC</cp:lastModifiedBy>
  <dcterms:modified xsi:type="dcterms:W3CDTF">2026-09-14T02:39:44Z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E9D698F68621495EBA0E2B605F67108F_13</vt:lpwstr>
  </property>
  <property fmtid="{D5CDD505-2E9C-101B-9397-08002B2CF9AE}" pid="4" name="KSOTemplateDocerSaveRecord">
    <vt:lpwstr>eyJoZGlkIjoiODg5MjgyOWQ3ZDJkNDNmYzM2NDJkOGZlNTI5NzMxMGYiLCJ1c2VySWQiOiI0MTAxODYwMDYifQ==</vt:lpwstr>
  </property>
</Properties>
</file>