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C634C2">
      <w:pPr>
        <w:spacing w:line="360" w:lineRule="auto"/>
        <w:jc w:val="center"/>
        <w:rPr>
          <w:rFonts w:hint="eastAsia" w:eastAsia="黑体"/>
          <w:b/>
          <w:sz w:val="36"/>
          <w:szCs w:val="36"/>
        </w:rPr>
      </w:pPr>
      <w:r>
        <w:rPr>
          <w:rFonts w:ascii="Times New Roman" w:hAnsi="Times New Roman"/>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81280</wp:posOffset>
                </wp:positionV>
                <wp:extent cx="2266315" cy="930910"/>
                <wp:effectExtent l="5080" t="4445" r="14605" b="17145"/>
                <wp:wrapSquare wrapText="bothSides"/>
                <wp:docPr id="1" name="文本框 1"/>
                <wp:cNvGraphicFramePr/>
                <a:graphic xmlns:a="http://schemas.openxmlformats.org/drawingml/2006/main">
                  <a:graphicData uri="http://schemas.microsoft.com/office/word/2010/wordprocessingShape">
                    <wps:wsp>
                      <wps:cNvSpPr txBox="1"/>
                      <wps:spPr>
                        <a:xfrm>
                          <a:off x="0" y="0"/>
                          <a:ext cx="2266315" cy="9309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5D48554">
                            <w:pPr>
                              <w:ind w:left="700" w:hanging="700" w:hangingChars="250"/>
                              <w:jc w:val="center"/>
                              <w:rPr>
                                <w:rFonts w:ascii="楷体_GB2312" w:eastAsia="楷体_GB2312" w:cs="楷体_GB2312"/>
                                <w:sz w:val="28"/>
                                <w:szCs w:val="28"/>
                                <w:lang w:bidi="ar"/>
                              </w:rPr>
                            </w:pPr>
                            <w:r>
                              <w:rPr>
                                <w:rFonts w:hint="eastAsia" w:ascii="楷体_GB2312" w:eastAsia="楷体_GB2312" w:cs="楷体_GB2312"/>
                                <w:sz w:val="28"/>
                                <w:szCs w:val="28"/>
                                <w:lang w:bidi="ar"/>
                              </w:rPr>
                              <w:t>全国法院第三十</w:t>
                            </w:r>
                            <w:r>
                              <w:rPr>
                                <w:rFonts w:hint="eastAsia" w:ascii="楷体_GB2312" w:eastAsia="楷体_GB2312" w:cs="楷体_GB2312"/>
                                <w:sz w:val="28"/>
                                <w:szCs w:val="28"/>
                                <w:lang w:eastAsia="zh-CN" w:bidi="ar"/>
                              </w:rPr>
                              <w:t>七</w:t>
                            </w:r>
                            <w:r>
                              <w:rPr>
                                <w:rFonts w:hint="eastAsia" w:ascii="楷体_GB2312" w:eastAsia="楷体_GB2312" w:cs="楷体_GB2312"/>
                                <w:sz w:val="28"/>
                                <w:szCs w:val="28"/>
                                <w:lang w:bidi="ar"/>
                              </w:rPr>
                              <w:t>届</w:t>
                            </w:r>
                          </w:p>
                          <w:p w14:paraId="74FB19F7">
                            <w:pPr>
                              <w:ind w:left="700" w:hanging="700" w:hangingChars="250"/>
                              <w:jc w:val="center"/>
                              <w:rPr>
                                <w:rFonts w:ascii="楷体_GB2312" w:eastAsia="楷体_GB2312" w:cs="楷体_GB2312"/>
                                <w:sz w:val="28"/>
                                <w:szCs w:val="28"/>
                                <w:lang w:bidi="ar"/>
                              </w:rPr>
                            </w:pPr>
                            <w:r>
                              <w:rPr>
                                <w:rFonts w:hint="eastAsia" w:ascii="楷体_GB2312" w:eastAsia="楷体_GB2312" w:cs="楷体_GB2312"/>
                                <w:sz w:val="28"/>
                                <w:szCs w:val="28"/>
                                <w:lang w:bidi="ar"/>
                              </w:rPr>
                              <w:t>学术讨论会征文</w:t>
                            </w:r>
                          </w:p>
                        </w:txbxContent>
                      </wps:txbx>
                      <wps:bodyPr upright="1"/>
                    </wps:wsp>
                  </a:graphicData>
                </a:graphic>
              </wp:anchor>
            </w:drawing>
          </mc:Choice>
          <mc:Fallback>
            <w:pict>
              <v:shape id="_x0000_s1026" o:spid="_x0000_s1026" o:spt="202" type="#_x0000_t202" style="position:absolute;left:0pt;margin-left:2.25pt;margin-top:6.4pt;height:73.3pt;width:178.45pt;mso-wrap-distance-bottom:0pt;mso-wrap-distance-left:9pt;mso-wrap-distance-right:9pt;mso-wrap-distance-top:0pt;z-index:251659264;mso-width-relative:page;mso-height-relative:page;" fillcolor="#FFFFFF" filled="t" stroked="t" coordsize="21600,21600" o:gfxdata="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MpuFn1wAAAAgBAAAPAAAAAAAAAAEA&#10;IAAAACIAAABkcnMvZG93bnJldi54bWxQSwECFAAUAAAACACHTuJAYqvH8RACAABEBAAADgAAAAAA&#10;AAABACAAAAAmAQAAZHJzL2Uyb0RvYy54bWxQSwUGAAAAAAYABgBZAQAAqAUAAAAA&#10;">
                <v:fill on="t" focussize="0,0"/>
                <v:stroke color="#000000" joinstyle="miter"/>
                <v:imagedata o:title=""/>
                <o:lock v:ext="edit" aspectratio="f"/>
                <v:textbox>
                  <w:txbxContent>
                    <w:p w14:paraId="05D48554">
                      <w:pPr>
                        <w:ind w:left="700" w:hanging="700" w:hangingChars="250"/>
                        <w:jc w:val="center"/>
                        <w:rPr>
                          <w:rFonts w:ascii="楷体_GB2312" w:eastAsia="楷体_GB2312" w:cs="楷体_GB2312"/>
                          <w:sz w:val="28"/>
                          <w:szCs w:val="28"/>
                          <w:lang w:bidi="ar"/>
                        </w:rPr>
                      </w:pPr>
                      <w:r>
                        <w:rPr>
                          <w:rFonts w:hint="eastAsia" w:ascii="楷体_GB2312" w:eastAsia="楷体_GB2312" w:cs="楷体_GB2312"/>
                          <w:sz w:val="28"/>
                          <w:szCs w:val="28"/>
                          <w:lang w:bidi="ar"/>
                        </w:rPr>
                        <w:t>全国法院第三十</w:t>
                      </w:r>
                      <w:r>
                        <w:rPr>
                          <w:rFonts w:hint="eastAsia" w:ascii="楷体_GB2312" w:eastAsia="楷体_GB2312" w:cs="楷体_GB2312"/>
                          <w:sz w:val="28"/>
                          <w:szCs w:val="28"/>
                          <w:lang w:eastAsia="zh-CN" w:bidi="ar"/>
                        </w:rPr>
                        <w:t>七</w:t>
                      </w:r>
                      <w:r>
                        <w:rPr>
                          <w:rFonts w:hint="eastAsia" w:ascii="楷体_GB2312" w:eastAsia="楷体_GB2312" w:cs="楷体_GB2312"/>
                          <w:sz w:val="28"/>
                          <w:szCs w:val="28"/>
                          <w:lang w:bidi="ar"/>
                        </w:rPr>
                        <w:t>届</w:t>
                      </w:r>
                    </w:p>
                    <w:p w14:paraId="74FB19F7">
                      <w:pPr>
                        <w:ind w:left="700" w:hanging="700" w:hangingChars="250"/>
                        <w:jc w:val="center"/>
                        <w:rPr>
                          <w:rFonts w:ascii="楷体_GB2312" w:eastAsia="楷体_GB2312" w:cs="楷体_GB2312"/>
                          <w:sz w:val="28"/>
                          <w:szCs w:val="28"/>
                          <w:lang w:bidi="ar"/>
                        </w:rPr>
                      </w:pPr>
                      <w:r>
                        <w:rPr>
                          <w:rFonts w:hint="eastAsia" w:ascii="楷体_GB2312" w:eastAsia="楷体_GB2312" w:cs="楷体_GB2312"/>
                          <w:sz w:val="28"/>
                          <w:szCs w:val="28"/>
                          <w:lang w:bidi="ar"/>
                        </w:rPr>
                        <w:t>学术讨论会征文</w:t>
                      </w:r>
                    </w:p>
                  </w:txbxContent>
                </v:textbox>
                <w10:wrap type="square"/>
              </v:shape>
            </w:pict>
          </mc:Fallback>
        </mc:AlternateContent>
      </w:r>
    </w:p>
    <w:p w14:paraId="11992300">
      <w:pPr>
        <w:keepNext w:val="0"/>
        <w:keepLines w:val="0"/>
        <w:pageBreakBefore w:val="0"/>
        <w:tabs>
          <w:tab w:val="left" w:pos="360"/>
        </w:tabs>
        <w:kinsoku/>
        <w:wordWrap/>
        <w:overflowPunct/>
        <w:topLinePunct w:val="0"/>
        <w:autoSpaceDE/>
        <w:autoSpaceDN/>
        <w:bidi w:val="0"/>
        <w:adjustRightInd/>
        <w:snapToGrid/>
        <w:spacing w:line="579" w:lineRule="exact"/>
        <w:jc w:val="both"/>
        <w:textAlignment w:val="auto"/>
        <w:rPr>
          <w:rFonts w:hint="eastAsia" w:ascii="Times New Roman" w:hAnsi="黑体" w:eastAsia="黑体"/>
          <w:sz w:val="36"/>
          <w:szCs w:val="36"/>
        </w:rPr>
      </w:pPr>
    </w:p>
    <w:p w14:paraId="5B0A35CA">
      <w:pPr>
        <w:spacing w:line="570" w:lineRule="exact"/>
        <w:rPr>
          <w:rFonts w:ascii="华文中宋" w:hAnsi="华文中宋" w:eastAsia="华文中宋" w:cs="华文中宋"/>
          <w:b/>
          <w:bCs/>
          <w:sz w:val="36"/>
          <w:szCs w:val="36"/>
        </w:rPr>
      </w:pPr>
    </w:p>
    <w:p w14:paraId="22B0BEC3">
      <w:pPr>
        <w:spacing w:line="570" w:lineRule="exact"/>
        <w:rPr>
          <w:rFonts w:ascii="华文中宋" w:hAnsi="华文中宋" w:eastAsia="华文中宋" w:cs="华文中宋"/>
          <w:b/>
          <w:bCs/>
          <w:sz w:val="36"/>
          <w:szCs w:val="36"/>
        </w:rPr>
      </w:pPr>
    </w:p>
    <w:p w14:paraId="74A4ADCF">
      <w:pPr>
        <w:spacing w:line="570" w:lineRule="exact"/>
        <w:rPr>
          <w:rFonts w:ascii="华文中宋" w:hAnsi="华文中宋" w:eastAsia="华文中宋" w:cs="华文中宋"/>
          <w:b/>
          <w:bCs/>
          <w:sz w:val="36"/>
          <w:szCs w:val="36"/>
        </w:rPr>
      </w:pPr>
    </w:p>
    <w:p w14:paraId="5924D3C9">
      <w:pPr>
        <w:spacing w:line="570" w:lineRule="exact"/>
        <w:jc w:val="center"/>
        <w:rPr>
          <w:rFonts w:ascii="黑体" w:hAnsi="黑体" w:eastAsia="黑体" w:cs="黑体"/>
          <w:sz w:val="36"/>
          <w:szCs w:val="36"/>
        </w:rPr>
      </w:pPr>
    </w:p>
    <w:p w14:paraId="204921C1">
      <w:pPr>
        <w:spacing w:line="570" w:lineRule="exact"/>
        <w:jc w:val="center"/>
        <w:rPr>
          <w:rFonts w:ascii="楷体" w:hAnsi="楷体" w:eastAsia="楷体" w:cs="黑体"/>
          <w:sz w:val="32"/>
          <w:szCs w:val="32"/>
        </w:rPr>
      </w:pPr>
      <w:r>
        <w:rPr>
          <w:rFonts w:hint="eastAsia" w:ascii="黑体" w:hAnsi="黑体" w:eastAsia="黑体" w:cs="仿宋"/>
          <w:sz w:val="36"/>
          <w:szCs w:val="36"/>
          <w:lang w:eastAsia="zh-CN"/>
        </w:rPr>
        <w:t>失信被执行人信用修复制度多维困境与优化路径</w:t>
      </w:r>
    </w:p>
    <w:p w14:paraId="3C2C83A5">
      <w:pPr>
        <w:spacing w:line="570" w:lineRule="exact"/>
        <w:jc w:val="center"/>
        <w:rPr>
          <w:rFonts w:ascii="楷体" w:hAnsi="楷体" w:eastAsia="楷体" w:cs="黑体"/>
          <w:sz w:val="32"/>
          <w:szCs w:val="32"/>
        </w:rPr>
      </w:pPr>
    </w:p>
    <w:p w14:paraId="3A8A7D06">
      <w:pPr>
        <w:spacing w:line="570" w:lineRule="exact"/>
        <w:jc w:val="center"/>
        <w:rPr>
          <w:rFonts w:ascii="楷体" w:hAnsi="楷体" w:eastAsia="楷体" w:cs="黑体"/>
          <w:sz w:val="32"/>
          <w:szCs w:val="32"/>
        </w:rPr>
      </w:pPr>
    </w:p>
    <w:p w14:paraId="654DD698">
      <w:pPr>
        <w:spacing w:line="570" w:lineRule="exact"/>
        <w:jc w:val="center"/>
        <w:rPr>
          <w:rFonts w:ascii="楷体" w:hAnsi="楷体" w:eastAsia="楷体" w:cs="黑体"/>
          <w:sz w:val="32"/>
          <w:szCs w:val="32"/>
        </w:rPr>
      </w:pPr>
    </w:p>
    <w:p w14:paraId="13A8707B">
      <w:pPr>
        <w:spacing w:line="570" w:lineRule="exact"/>
        <w:jc w:val="center"/>
        <w:rPr>
          <w:rFonts w:ascii="楷体" w:hAnsi="楷体" w:eastAsia="楷体" w:cs="黑体"/>
          <w:sz w:val="32"/>
          <w:szCs w:val="32"/>
        </w:rPr>
      </w:pPr>
    </w:p>
    <w:p w14:paraId="2F928A95">
      <w:pPr>
        <w:spacing w:line="570" w:lineRule="exact"/>
        <w:jc w:val="center"/>
        <w:rPr>
          <w:rFonts w:ascii="楷体" w:hAnsi="楷体" w:eastAsia="楷体" w:cs="黑体"/>
          <w:sz w:val="32"/>
          <w:szCs w:val="32"/>
        </w:rPr>
      </w:pPr>
    </w:p>
    <w:p w14:paraId="5D4EED16">
      <w:pPr>
        <w:spacing w:line="570" w:lineRule="exact"/>
        <w:jc w:val="center"/>
        <w:rPr>
          <w:rFonts w:ascii="楷体" w:hAnsi="楷体" w:eastAsia="楷体" w:cs="黑体"/>
          <w:sz w:val="32"/>
          <w:szCs w:val="32"/>
        </w:rPr>
      </w:pPr>
    </w:p>
    <w:p w14:paraId="1C7B9C20">
      <w:pPr>
        <w:spacing w:line="570" w:lineRule="exact"/>
        <w:rPr>
          <w:rFonts w:ascii="楷体" w:hAnsi="楷体" w:eastAsia="楷体" w:cs="黑体"/>
          <w:sz w:val="32"/>
          <w:szCs w:val="32"/>
        </w:rPr>
      </w:pPr>
    </w:p>
    <w:p w14:paraId="73CEEEB1">
      <w:pPr>
        <w:spacing w:line="570" w:lineRule="exact"/>
        <w:rPr>
          <w:rFonts w:ascii="楷体" w:hAnsi="楷体" w:eastAsia="楷体" w:cs="黑体"/>
          <w:sz w:val="32"/>
          <w:szCs w:val="32"/>
        </w:rPr>
      </w:pPr>
    </w:p>
    <w:p w14:paraId="645520F0">
      <w:pPr>
        <w:spacing w:line="570" w:lineRule="exact"/>
        <w:rPr>
          <w:rFonts w:ascii="楷体" w:hAnsi="楷体" w:eastAsia="楷体" w:cs="黑体"/>
          <w:sz w:val="32"/>
          <w:szCs w:val="32"/>
        </w:rPr>
      </w:pPr>
    </w:p>
    <w:p w14:paraId="546C9604">
      <w:pPr>
        <w:spacing w:line="570" w:lineRule="exact"/>
        <w:jc w:val="center"/>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安阳</w:t>
      </w:r>
      <w:r>
        <w:rPr>
          <w:rFonts w:hint="eastAsia" w:ascii="楷体" w:hAnsi="楷体" w:eastAsia="楷体" w:cs="楷体"/>
          <w:sz w:val="32"/>
          <w:szCs w:val="32"/>
        </w:rPr>
        <w:t>县人民法院  李晶晶</w:t>
      </w:r>
      <w:r>
        <w:rPr>
          <w:rFonts w:hint="eastAsia" w:ascii="楷体" w:hAnsi="楷体" w:eastAsia="楷体" w:cs="楷体"/>
          <w:sz w:val="32"/>
          <w:szCs w:val="32"/>
        </w:rPr>
        <w:t xml:space="preserve">  李非</w:t>
      </w:r>
      <w:r>
        <w:rPr>
          <w:rFonts w:hint="eastAsia" w:ascii="楷体" w:hAnsi="楷体" w:eastAsia="楷体" w:cs="楷体"/>
          <w:sz w:val="32"/>
          <w:szCs w:val="32"/>
          <w:lang w:val="en-US" w:eastAsia="zh-CN"/>
        </w:rPr>
        <w:t xml:space="preserve">  </w:t>
      </w:r>
      <w:r>
        <w:rPr>
          <w:rFonts w:hint="eastAsia" w:ascii="楷体" w:hAnsi="楷体" w:eastAsia="楷体" w:cs="楷体"/>
          <w:sz w:val="32"/>
          <w:szCs w:val="32"/>
        </w:rPr>
        <w:t>李静</w:t>
      </w:r>
    </w:p>
    <w:p w14:paraId="26ED55B9">
      <w:pPr>
        <w:spacing w:line="570" w:lineRule="exact"/>
        <w:jc w:val="center"/>
        <w:rPr>
          <w:rFonts w:hint="eastAsia" w:ascii="楷体" w:hAnsi="楷体" w:eastAsia="楷体" w:cs="楷体"/>
          <w:sz w:val="32"/>
          <w:szCs w:val="32"/>
        </w:rPr>
      </w:pPr>
      <w:r>
        <w:rPr>
          <w:rFonts w:hint="eastAsia" w:ascii="楷体" w:hAnsi="楷体" w:eastAsia="楷体" w:cs="楷体"/>
          <w:sz w:val="32"/>
          <w:szCs w:val="32"/>
        </w:rPr>
        <w:t>二〇二</w:t>
      </w:r>
      <w:r>
        <w:rPr>
          <w:rFonts w:hint="eastAsia" w:ascii="楷体" w:hAnsi="楷体" w:eastAsia="楷体" w:cs="楷体"/>
          <w:sz w:val="32"/>
          <w:szCs w:val="32"/>
          <w:lang w:val="en-US" w:eastAsia="zh-CN"/>
        </w:rPr>
        <w:t>五</w:t>
      </w:r>
      <w:r>
        <w:rPr>
          <w:rFonts w:hint="eastAsia" w:ascii="楷体" w:hAnsi="楷体" w:eastAsia="楷体" w:cs="楷体"/>
          <w:sz w:val="32"/>
          <w:szCs w:val="32"/>
        </w:rPr>
        <w:t>年</w:t>
      </w:r>
      <w:r>
        <w:rPr>
          <w:rFonts w:hint="eastAsia" w:ascii="楷体" w:hAnsi="楷体" w:eastAsia="楷体" w:cs="楷体"/>
          <w:sz w:val="32"/>
          <w:szCs w:val="32"/>
          <w:lang w:val="en-US" w:eastAsia="zh-CN"/>
        </w:rPr>
        <w:t>六</w:t>
      </w:r>
      <w:r>
        <w:rPr>
          <w:rFonts w:hint="eastAsia" w:ascii="楷体" w:hAnsi="楷体" w:eastAsia="楷体" w:cs="楷体"/>
          <w:sz w:val="32"/>
          <w:szCs w:val="32"/>
        </w:rPr>
        <w:t>月</w:t>
      </w:r>
    </w:p>
    <w:p w14:paraId="3F407A84">
      <w:pPr>
        <w:autoSpaceDE w:val="0"/>
        <w:autoSpaceDN w:val="0"/>
        <w:adjustRightInd w:val="0"/>
        <w:snapToGrid w:val="0"/>
        <w:spacing w:line="560" w:lineRule="exact"/>
        <w:rPr>
          <w:rFonts w:ascii="Calibri" w:hAnsi="Calibri" w:eastAsia="华文仿宋" w:cs="Times New Roman"/>
        </w:rPr>
      </w:pPr>
    </w:p>
    <w:p w14:paraId="1A24FBF5">
      <w:pPr>
        <w:adjustRightInd w:val="0"/>
        <w:snapToGrid w:val="0"/>
        <w:spacing w:line="560" w:lineRule="exact"/>
        <w:rPr>
          <w:rFonts w:hint="eastAsia" w:ascii="Calibri" w:hAnsi="Calibri" w:eastAsia="宋体" w:cs="Times New Roman"/>
          <w:lang w:eastAsia="zh-CN"/>
        </w:rPr>
      </w:pPr>
      <w:r>
        <w:rPr>
          <w:rFonts w:ascii="Calibri" w:hAnsi="Calibri" w:eastAsia="宋体" w:cs="Times New Roman"/>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Calibri" w:hAnsi="Calibri" w:eastAsia="宋体" w:cs="Times New Roman"/>
        </w:rPr>
        <w:instrText xml:space="preserve">ADDIN CNKISM.UserStyle</w:instrText>
      </w:r>
      <w:r>
        <w:rPr>
          <w:rFonts w:ascii="Calibri" w:hAnsi="Calibri" w:eastAsia="宋体" w:cs="Times New Roman"/>
        </w:rPr>
        <w:fldChar w:fldCharType="end"/>
      </w:r>
      <w:r>
        <w:rPr>
          <w:rFonts w:hint="eastAsia" w:ascii="Calibri" w:hAnsi="Calibri" w:eastAsia="宋体" w:cs="Times New Roman"/>
        </w:rPr>
        <w:tab/>
      </w:r>
    </w:p>
    <w:p w14:paraId="752C7422">
      <w:pPr>
        <w:jc w:val="both"/>
        <w:rPr>
          <w:rFonts w:hint="eastAsia" w:eastAsiaTheme="minorEastAsia"/>
          <w:b/>
          <w:bCs/>
          <w:sz w:val="44"/>
          <w:szCs w:val="44"/>
          <w:lang w:eastAsia="zh-CN"/>
        </w:rPr>
      </w:pPr>
    </w:p>
    <w:p w14:paraId="43E78867">
      <w:pPr>
        <w:outlineLvl w:val="0"/>
        <w:rPr>
          <w:rFonts w:hint="eastAsia" w:ascii="黑体" w:hAnsi="黑体" w:eastAsia="黑体" w:cs="黑体"/>
          <w:bCs/>
          <w:sz w:val="30"/>
          <w:szCs w:val="30"/>
        </w:rPr>
      </w:pPr>
    </w:p>
    <w:p w14:paraId="667111A8">
      <w:pPr>
        <w:outlineLvl w:val="0"/>
        <w:rPr>
          <w:rFonts w:hint="eastAsia" w:ascii="黑体" w:hAnsi="黑体" w:eastAsia="黑体" w:cs="黑体"/>
          <w:bCs/>
          <w:sz w:val="30"/>
          <w:szCs w:val="30"/>
        </w:rPr>
      </w:pPr>
    </w:p>
    <w:p w14:paraId="012063F3">
      <w:pPr>
        <w:outlineLvl w:val="0"/>
        <w:rPr>
          <w:rFonts w:ascii="黑体" w:hAnsi="黑体" w:eastAsia="黑体" w:cs="黑体"/>
          <w:bCs/>
          <w:sz w:val="30"/>
          <w:szCs w:val="30"/>
        </w:rPr>
      </w:pPr>
      <w:bookmarkStart w:id="7" w:name="_GoBack"/>
      <w:bookmarkEnd w:id="7"/>
      <w:r>
        <w:rPr>
          <w:rFonts w:hint="eastAsia" w:ascii="黑体" w:hAnsi="黑体" w:eastAsia="黑体" w:cs="黑体"/>
          <w:bCs/>
          <w:sz w:val="30"/>
          <w:szCs w:val="30"/>
        </w:rPr>
        <w:t>论文提要：</w:t>
      </w:r>
    </w:p>
    <w:p w14:paraId="5AC7A5F3">
      <w:pPr>
        <w:numPr>
          <w:ilvl w:val="0"/>
          <w:numId w:val="0"/>
        </w:numPr>
        <w:ind w:firstLine="600" w:firstLineChars="200"/>
        <w:outlineLvl w:val="1"/>
        <w:rPr>
          <w:rFonts w:ascii="仿宋" w:hAnsi="仿宋" w:eastAsia="仿宋" w:cs="仿宋"/>
          <w:color w:val="000000" w:themeColor="text1"/>
          <w:sz w:val="30"/>
          <w:szCs w:val="30"/>
          <w14:textFill>
            <w14:solidFill>
              <w14:schemeClr w14:val="tx1"/>
            </w14:solidFill>
          </w14:textFill>
        </w:rPr>
      </w:pPr>
      <w:bookmarkStart w:id="0" w:name="_Toc28244"/>
      <w:r>
        <w:rPr>
          <w:rFonts w:hint="eastAsia" w:ascii="仿宋" w:hAnsi="仿宋" w:eastAsia="仿宋" w:cs="仿宋"/>
          <w:sz w:val="30"/>
          <w:szCs w:val="30"/>
        </w:rPr>
        <w:t>在社会信用体系构建中，信用惩戒与信用修复作为司法信用治理的 “双轮”，共同维系着司法权威与失信主体的权益平衡。当前，失信被执行人信用修复制度在司法实践中面临适用对象不明确、适用情形不统一、修复方式混乱、</w:t>
      </w:r>
      <w:r>
        <w:rPr>
          <w:rFonts w:hint="eastAsia" w:ascii="仿宋" w:hAnsi="仿宋" w:eastAsia="仿宋" w:cs="仿宋"/>
          <w:sz w:val="30"/>
          <w:szCs w:val="30"/>
          <w:lang w:val="en-US" w:eastAsia="zh-CN"/>
        </w:rPr>
        <w:t>信用</w:t>
      </w:r>
      <w:r>
        <w:rPr>
          <w:rFonts w:hint="eastAsia" w:ascii="仿宋" w:hAnsi="仿宋" w:eastAsia="仿宋" w:cs="仿宋"/>
          <w:sz w:val="30"/>
          <w:szCs w:val="30"/>
        </w:rPr>
        <w:t>惩戒 “一刀切”、事后监管弱化及</w:t>
      </w:r>
      <w:r>
        <w:rPr>
          <w:rFonts w:hint="eastAsia" w:ascii="仿宋" w:hAnsi="仿宋" w:eastAsia="仿宋" w:cs="仿宋"/>
          <w:sz w:val="30"/>
          <w:szCs w:val="30"/>
          <w:lang w:val="en-US" w:eastAsia="zh-CN"/>
        </w:rPr>
        <w:t>修复缺乏可操作性</w:t>
      </w:r>
      <w:r>
        <w:rPr>
          <w:rFonts w:hint="eastAsia" w:ascii="仿宋" w:hAnsi="仿宋" w:eastAsia="仿宋" w:cs="仿宋"/>
          <w:sz w:val="30"/>
          <w:szCs w:val="30"/>
        </w:rPr>
        <w:t>等多维困境，其根源在于立法不完善、监督机制缺失及实操标准模糊。通过对最高人民法院及地方规范文件的梳理与实践数据的分析，本文提出优化路径：明确制度适用对象为已纳入失信名单的被执行人，</w:t>
      </w:r>
      <w:r>
        <w:rPr>
          <w:rFonts w:hint="eastAsia" w:ascii="仿宋" w:hAnsi="仿宋" w:eastAsia="仿宋" w:cs="仿宋"/>
          <w:sz w:val="30"/>
          <w:szCs w:val="30"/>
          <w:lang w:val="en-US" w:eastAsia="zh-CN"/>
        </w:rPr>
        <w:t>规范信用</w:t>
      </w:r>
      <w:r>
        <w:rPr>
          <w:rFonts w:hint="eastAsia" w:ascii="仿宋" w:hAnsi="仿宋" w:eastAsia="仿宋" w:cs="仿宋"/>
          <w:sz w:val="30"/>
          <w:szCs w:val="30"/>
        </w:rPr>
        <w:t>修复</w:t>
      </w:r>
      <w:r>
        <w:rPr>
          <w:rFonts w:hint="eastAsia" w:ascii="仿宋" w:hAnsi="仿宋" w:eastAsia="仿宋" w:cs="仿宋"/>
          <w:sz w:val="30"/>
          <w:szCs w:val="30"/>
          <w:lang w:val="en-US" w:eastAsia="zh-CN"/>
        </w:rPr>
        <w:t>适用情形</w:t>
      </w:r>
      <w:r>
        <w:rPr>
          <w:rFonts w:hint="eastAsia" w:ascii="仿宋" w:hAnsi="仿宋" w:eastAsia="仿宋" w:cs="仿宋"/>
          <w:sz w:val="30"/>
          <w:szCs w:val="30"/>
        </w:rPr>
        <w:t>与</w:t>
      </w:r>
      <w:r>
        <w:rPr>
          <w:rFonts w:hint="eastAsia" w:ascii="仿宋" w:hAnsi="仿宋" w:eastAsia="仿宋" w:cs="仿宋"/>
          <w:sz w:val="30"/>
          <w:szCs w:val="30"/>
          <w:lang w:val="en-US" w:eastAsia="zh-CN"/>
        </w:rPr>
        <w:t>方式</w:t>
      </w:r>
      <w:r>
        <w:rPr>
          <w:rFonts w:hint="eastAsia" w:ascii="仿宋" w:hAnsi="仿宋" w:eastAsia="仿宋" w:cs="仿宋"/>
          <w:sz w:val="30"/>
          <w:szCs w:val="30"/>
        </w:rPr>
        <w:t>，强化内部监督</w:t>
      </w:r>
      <w:r>
        <w:rPr>
          <w:rFonts w:hint="eastAsia" w:ascii="仿宋" w:hAnsi="仿宋" w:eastAsia="仿宋" w:cs="仿宋"/>
          <w:sz w:val="30"/>
          <w:szCs w:val="30"/>
          <w:lang w:val="en-US" w:eastAsia="zh-CN"/>
        </w:rPr>
        <w:t>管理</w:t>
      </w:r>
      <w:r>
        <w:rPr>
          <w:rFonts w:hint="eastAsia" w:ascii="仿宋" w:hAnsi="仿宋" w:eastAsia="仿宋" w:cs="仿宋"/>
          <w:sz w:val="30"/>
          <w:szCs w:val="30"/>
        </w:rPr>
        <w:t>并完善救济体系。研究旨在推动信用修复制度的规范化，实现 “惩戒威慑 — 修复激励 — 信用重塑” 的良性循环，为社会信用体系建设提供司法实践参考</w:t>
      </w:r>
      <w:r>
        <w:rPr>
          <w:rFonts w:hint="eastAsia" w:ascii="仿宋" w:hAnsi="仿宋" w:eastAsia="仿宋" w:cs="仿宋"/>
          <w:sz w:val="30"/>
          <w:szCs w:val="30"/>
          <w:lang w:val="en-US" w:eastAsia="zh-CN"/>
        </w:rPr>
        <w:t>。</w:t>
      </w:r>
      <w:r>
        <w:rPr>
          <w:rFonts w:hint="eastAsia" w:ascii="仿宋" w:hAnsi="仿宋" w:eastAsia="仿宋" w:cs="仿宋"/>
          <w:color w:val="000000" w:themeColor="text1"/>
          <w:sz w:val="30"/>
          <w:szCs w:val="30"/>
          <w14:textFill>
            <w14:solidFill>
              <w14:schemeClr w14:val="tx1"/>
            </w14:solidFill>
          </w14:textFill>
        </w:rPr>
        <w:t>（全文共</w:t>
      </w:r>
      <w:r>
        <w:rPr>
          <w:rFonts w:hint="eastAsia" w:ascii="仿宋" w:hAnsi="仿宋" w:eastAsia="仿宋" w:cs="仿宋"/>
          <w:color w:val="000000" w:themeColor="text1"/>
          <w:sz w:val="30"/>
          <w:szCs w:val="30"/>
          <w:lang w:val="en-US" w:eastAsia="zh-CN"/>
          <w14:textFill>
            <w14:solidFill>
              <w14:schemeClr w14:val="tx1"/>
            </w14:solidFill>
          </w14:textFill>
        </w:rPr>
        <w:t>13764</w:t>
      </w:r>
      <w:r>
        <w:rPr>
          <w:rFonts w:hint="eastAsia" w:ascii="仿宋" w:hAnsi="仿宋" w:eastAsia="仿宋" w:cs="仿宋"/>
          <w:color w:val="000000" w:themeColor="text1"/>
          <w:sz w:val="30"/>
          <w:szCs w:val="30"/>
          <w14:textFill>
            <w14:solidFill>
              <w14:schemeClr w14:val="tx1"/>
            </w14:solidFill>
          </w14:textFill>
        </w:rPr>
        <w:t>字）</w:t>
      </w:r>
      <w:bookmarkEnd w:id="0"/>
    </w:p>
    <w:p w14:paraId="686D1BBD">
      <w:pPr>
        <w:rPr>
          <w:rFonts w:cs="仿宋" w:asciiTheme="majorEastAsia" w:hAnsiTheme="majorEastAsia" w:eastAsiaTheme="majorEastAsia"/>
          <w:b/>
          <w:sz w:val="28"/>
          <w:szCs w:val="28"/>
        </w:rPr>
      </w:pPr>
    </w:p>
    <w:p w14:paraId="56986884">
      <w:pPr>
        <w:rPr>
          <w:rFonts w:cs="仿宋" w:asciiTheme="majorEastAsia" w:hAnsiTheme="majorEastAsia" w:eastAsiaTheme="majorEastAsia"/>
          <w:b/>
          <w:sz w:val="28"/>
          <w:szCs w:val="28"/>
        </w:rPr>
      </w:pPr>
    </w:p>
    <w:p w14:paraId="7C01EC89">
      <w:pPr>
        <w:rPr>
          <w:rFonts w:ascii="仿宋" w:hAnsi="仿宋" w:eastAsia="仿宋" w:cs="仿宋"/>
          <w:color w:val="000000" w:themeColor="text1"/>
          <w:sz w:val="30"/>
          <w:szCs w:val="30"/>
          <w14:textFill>
            <w14:solidFill>
              <w14:schemeClr w14:val="tx1"/>
            </w14:solidFill>
          </w14:textFill>
        </w:rPr>
      </w:pPr>
    </w:p>
    <w:p w14:paraId="0CAFDE8E">
      <w:pPr>
        <w:outlineLvl w:val="0"/>
        <w:rPr>
          <w:rFonts w:cs="仿宋" w:asciiTheme="majorEastAsia" w:hAnsiTheme="majorEastAsia" w:eastAsiaTheme="majorEastAsia"/>
          <w:b/>
          <w:sz w:val="28"/>
          <w:szCs w:val="28"/>
        </w:rPr>
      </w:pPr>
      <w:bookmarkStart w:id="1" w:name="_Toc16722"/>
    </w:p>
    <w:p w14:paraId="2D1118B1">
      <w:pPr>
        <w:outlineLvl w:val="0"/>
        <w:rPr>
          <w:rFonts w:cs="仿宋" w:asciiTheme="majorEastAsia" w:hAnsiTheme="majorEastAsia" w:eastAsiaTheme="majorEastAsia"/>
          <w:b/>
          <w:sz w:val="28"/>
          <w:szCs w:val="28"/>
        </w:rPr>
      </w:pPr>
    </w:p>
    <w:bookmarkEnd w:id="1"/>
    <w:p w14:paraId="54A861FF">
      <w:pPr>
        <w:rPr>
          <w:rFonts w:cs="仿宋" w:asciiTheme="majorEastAsia" w:hAnsiTheme="majorEastAsia" w:eastAsiaTheme="majorEastAsia"/>
          <w:b/>
          <w:sz w:val="28"/>
          <w:szCs w:val="28"/>
        </w:rPr>
      </w:pPr>
      <w:bookmarkStart w:id="2" w:name="_Toc317018315_WPSOffice_Level1"/>
    </w:p>
    <w:p w14:paraId="0F6C5BD3">
      <w:pPr>
        <w:rPr>
          <w:rFonts w:cs="仿宋" w:asciiTheme="majorEastAsia" w:hAnsiTheme="majorEastAsia" w:eastAsiaTheme="majorEastAsia"/>
          <w:b/>
          <w:sz w:val="28"/>
          <w:szCs w:val="28"/>
        </w:rPr>
      </w:pPr>
    </w:p>
    <w:p w14:paraId="25CFAAEF">
      <w:pPr>
        <w:rPr>
          <w:rFonts w:cs="仿宋" w:asciiTheme="majorEastAsia" w:hAnsiTheme="majorEastAsia" w:eastAsiaTheme="majorEastAsia"/>
          <w:b/>
          <w:sz w:val="28"/>
          <w:szCs w:val="28"/>
        </w:rPr>
      </w:pPr>
    </w:p>
    <w:p w14:paraId="277BF052">
      <w:pPr>
        <w:rPr>
          <w:rFonts w:cs="仿宋" w:asciiTheme="majorEastAsia" w:hAnsiTheme="majorEastAsia" w:eastAsiaTheme="majorEastAsia"/>
          <w:b/>
          <w:sz w:val="28"/>
          <w:szCs w:val="28"/>
        </w:rPr>
      </w:pPr>
    </w:p>
    <w:p w14:paraId="5C1BF609">
      <w:pPr>
        <w:outlineLvl w:val="0"/>
        <w:rPr>
          <w:rFonts w:ascii="黑体" w:hAnsi="黑体" w:eastAsia="黑体" w:cs="黑体"/>
          <w:bCs/>
          <w:sz w:val="30"/>
          <w:szCs w:val="30"/>
        </w:rPr>
      </w:pPr>
      <w:r>
        <w:rPr>
          <w:rFonts w:hint="eastAsia" w:ascii="黑体" w:hAnsi="黑体" w:eastAsia="黑体" w:cs="黑体"/>
          <w:bCs/>
          <w:sz w:val="30"/>
          <w:szCs w:val="30"/>
        </w:rPr>
        <w:t>主要创新观点：</w:t>
      </w:r>
    </w:p>
    <w:p w14:paraId="75181651">
      <w:pPr>
        <w:numPr>
          <w:ilvl w:val="0"/>
          <w:numId w:val="0"/>
        </w:numPr>
        <w:ind w:firstLine="600" w:firstLineChars="200"/>
        <w:outlineLvl w:val="1"/>
        <w:rPr>
          <w:rFonts w:hint="default" w:cs="仿宋" w:asciiTheme="majorEastAsia" w:hAnsiTheme="majorEastAsia" w:eastAsiaTheme="majorEastAsia"/>
          <w:b/>
          <w:sz w:val="28"/>
          <w:szCs w:val="28"/>
          <w:lang w:val="en-US"/>
        </w:rPr>
      </w:pPr>
      <w:bookmarkStart w:id="3" w:name="_Toc21443"/>
      <w:r>
        <w:rPr>
          <w:rFonts w:hint="eastAsia" w:ascii="仿宋" w:hAnsi="仿宋" w:eastAsia="仿宋" w:cs="仿宋"/>
          <w:sz w:val="30"/>
          <w:szCs w:val="30"/>
          <w:lang w:val="en-US" w:eastAsia="zh-CN"/>
        </w:rPr>
        <w:t>本文梳理了信用修复制度现有规范性文件，并将某基层法院的输入纳入研究，通过量化分析揭示信用修复制度在司法实践中的困境，为制度优化提供了坚实的数据基础。针对信用修复制度面临的困境，本文从制度规范和司法实践两个维度构建了优化路径，不仅关注制度层面的完善，还着眼于</w:t>
      </w:r>
      <w:bookmarkEnd w:id="3"/>
      <w:r>
        <w:rPr>
          <w:rFonts w:hint="eastAsia" w:ascii="仿宋" w:hAnsi="仿宋" w:eastAsia="仿宋" w:cs="仿宋"/>
          <w:sz w:val="30"/>
          <w:szCs w:val="30"/>
          <w:lang w:val="en-US" w:eastAsia="zh-CN"/>
        </w:rPr>
        <w:t>司法实践的操作，形成一个全方位、多层次，具有较强系统性和可操作性，能够为解决信用修复制度实际问题提供全面的思路和方法。</w:t>
      </w:r>
    </w:p>
    <w:p w14:paraId="5D4CC7F7">
      <w:pPr>
        <w:rPr>
          <w:rFonts w:cs="仿宋" w:asciiTheme="majorEastAsia" w:hAnsiTheme="majorEastAsia" w:eastAsiaTheme="majorEastAsia"/>
          <w:b/>
          <w:sz w:val="28"/>
          <w:szCs w:val="28"/>
        </w:rPr>
      </w:pPr>
    </w:p>
    <w:p w14:paraId="41678437">
      <w:pPr>
        <w:rPr>
          <w:rFonts w:cs="仿宋" w:asciiTheme="majorEastAsia" w:hAnsiTheme="majorEastAsia" w:eastAsiaTheme="majorEastAsia"/>
          <w:b/>
          <w:sz w:val="28"/>
          <w:szCs w:val="28"/>
        </w:rPr>
      </w:pPr>
    </w:p>
    <w:p w14:paraId="6E61AB5C">
      <w:pPr>
        <w:rPr>
          <w:rFonts w:cs="仿宋" w:asciiTheme="majorEastAsia" w:hAnsiTheme="majorEastAsia" w:eastAsiaTheme="majorEastAsia"/>
          <w:b/>
          <w:sz w:val="28"/>
          <w:szCs w:val="28"/>
        </w:rPr>
      </w:pPr>
    </w:p>
    <w:p w14:paraId="3BE3A781">
      <w:pPr>
        <w:rPr>
          <w:rFonts w:cs="仿宋" w:asciiTheme="majorEastAsia" w:hAnsiTheme="majorEastAsia" w:eastAsiaTheme="majorEastAsia"/>
          <w:b/>
          <w:sz w:val="28"/>
          <w:szCs w:val="28"/>
        </w:rPr>
      </w:pPr>
    </w:p>
    <w:p w14:paraId="54926DEA">
      <w:pPr>
        <w:rPr>
          <w:rFonts w:cs="仿宋" w:asciiTheme="majorEastAsia" w:hAnsiTheme="majorEastAsia" w:eastAsiaTheme="majorEastAsia"/>
          <w:b/>
          <w:sz w:val="28"/>
          <w:szCs w:val="28"/>
        </w:rPr>
      </w:pPr>
    </w:p>
    <w:p w14:paraId="64AF6DDE">
      <w:pPr>
        <w:rPr>
          <w:rFonts w:cs="仿宋" w:asciiTheme="majorEastAsia" w:hAnsiTheme="majorEastAsia" w:eastAsiaTheme="majorEastAsia"/>
          <w:b/>
          <w:sz w:val="28"/>
          <w:szCs w:val="28"/>
        </w:rPr>
      </w:pPr>
    </w:p>
    <w:p w14:paraId="2D3AB0D3">
      <w:pPr>
        <w:rPr>
          <w:rFonts w:cs="仿宋" w:asciiTheme="majorEastAsia" w:hAnsiTheme="majorEastAsia" w:eastAsiaTheme="majorEastAsia"/>
          <w:b/>
          <w:sz w:val="28"/>
          <w:szCs w:val="28"/>
        </w:rPr>
      </w:pPr>
    </w:p>
    <w:p w14:paraId="403B92C3">
      <w:pPr>
        <w:rPr>
          <w:rFonts w:cs="仿宋" w:asciiTheme="majorEastAsia" w:hAnsiTheme="majorEastAsia" w:eastAsiaTheme="majorEastAsia"/>
          <w:b/>
          <w:sz w:val="28"/>
          <w:szCs w:val="28"/>
        </w:rPr>
      </w:pPr>
    </w:p>
    <w:p w14:paraId="2DF78BB9">
      <w:pPr>
        <w:outlineLvl w:val="0"/>
        <w:rPr>
          <w:rFonts w:hint="eastAsia" w:ascii="黑体" w:hAnsi="黑体" w:eastAsia="黑体" w:cs="黑体"/>
          <w:bCs/>
          <w:sz w:val="30"/>
          <w:szCs w:val="30"/>
        </w:rPr>
      </w:pPr>
      <w:bookmarkStart w:id="4" w:name="_Toc1259506244_WPSOffice_Level1"/>
      <w:bookmarkStart w:id="5" w:name="_Toc4111"/>
      <w:bookmarkStart w:id="6" w:name="_Toc846930886_WPSOffice_Level1"/>
    </w:p>
    <w:p w14:paraId="0EE93BE2">
      <w:pPr>
        <w:outlineLvl w:val="0"/>
        <w:rPr>
          <w:rFonts w:hint="eastAsia" w:ascii="黑体" w:hAnsi="黑体" w:eastAsia="黑体" w:cs="黑体"/>
          <w:bCs/>
          <w:sz w:val="30"/>
          <w:szCs w:val="30"/>
        </w:rPr>
      </w:pPr>
    </w:p>
    <w:p w14:paraId="312D3992">
      <w:pPr>
        <w:outlineLvl w:val="0"/>
        <w:rPr>
          <w:rFonts w:hint="eastAsia" w:ascii="黑体" w:hAnsi="黑体" w:eastAsia="黑体" w:cs="黑体"/>
          <w:bCs/>
          <w:sz w:val="30"/>
          <w:szCs w:val="30"/>
        </w:rPr>
      </w:pPr>
    </w:p>
    <w:p w14:paraId="35EA70B1">
      <w:pPr>
        <w:outlineLvl w:val="0"/>
        <w:rPr>
          <w:rFonts w:hint="eastAsia" w:ascii="黑体" w:hAnsi="黑体" w:eastAsia="黑体" w:cs="黑体"/>
          <w:bCs/>
          <w:sz w:val="30"/>
          <w:szCs w:val="30"/>
        </w:rPr>
      </w:pPr>
    </w:p>
    <w:p w14:paraId="71B173FB">
      <w:pPr>
        <w:outlineLvl w:val="0"/>
        <w:rPr>
          <w:rFonts w:hint="eastAsia" w:ascii="黑体" w:hAnsi="黑体" w:eastAsia="黑体" w:cs="黑体"/>
          <w:bCs/>
          <w:sz w:val="30"/>
          <w:szCs w:val="30"/>
        </w:rPr>
      </w:pPr>
    </w:p>
    <w:p w14:paraId="37757657">
      <w:pPr>
        <w:outlineLvl w:val="0"/>
        <w:rPr>
          <w:rFonts w:hint="eastAsia" w:ascii="黑体" w:hAnsi="黑体" w:eastAsia="黑体" w:cs="黑体"/>
          <w:bCs/>
          <w:sz w:val="30"/>
          <w:szCs w:val="30"/>
        </w:rPr>
      </w:pPr>
    </w:p>
    <w:p w14:paraId="46FE9C10">
      <w:pPr>
        <w:outlineLvl w:val="0"/>
        <w:rPr>
          <w:rFonts w:hint="eastAsia" w:eastAsiaTheme="minorEastAsia"/>
          <w:b/>
          <w:bCs/>
          <w:sz w:val="44"/>
          <w:szCs w:val="44"/>
          <w:lang w:eastAsia="zh-CN"/>
        </w:rPr>
      </w:pPr>
      <w:r>
        <w:rPr>
          <w:rFonts w:hint="eastAsia" w:ascii="黑体" w:hAnsi="黑体" w:eastAsia="黑体" w:cs="黑体"/>
          <w:bCs/>
          <w:sz w:val="30"/>
          <w:szCs w:val="30"/>
        </w:rPr>
        <w:t>以下正文：</w:t>
      </w:r>
      <w:bookmarkEnd w:id="2"/>
      <w:bookmarkEnd w:id="4"/>
      <w:bookmarkEnd w:id="5"/>
      <w:bookmarkEnd w:id="6"/>
    </w:p>
    <w:p w14:paraId="120FAD34">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仿宋" w:hAnsi="仿宋" w:eastAsia="仿宋" w:cs="仿宋"/>
          <w:b/>
          <w:sz w:val="30"/>
          <w:szCs w:val="30"/>
          <w:lang w:val="en-US" w:eastAsia="zh-CN"/>
        </w:rPr>
      </w:pPr>
      <w:r>
        <w:rPr>
          <w:rFonts w:hint="eastAsia" w:ascii="仿宋" w:hAnsi="仿宋" w:eastAsia="仿宋" w:cs="仿宋"/>
          <w:b/>
          <w:sz w:val="30"/>
          <w:szCs w:val="30"/>
          <w:lang w:val="en-US" w:eastAsia="zh-CN"/>
        </w:rPr>
        <w:t>引言</w:t>
      </w:r>
    </w:p>
    <w:p w14:paraId="31A5F89F">
      <w:pPr>
        <w:numPr>
          <w:ilvl w:val="0"/>
          <w:numId w:val="0"/>
        </w:numPr>
        <w:ind w:firstLine="600" w:firstLineChars="200"/>
        <w:outlineLvl w:val="1"/>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在当今社会信用体系的构建与完善过程中，信用惩戒与信用修复两大核心机制共同构成了司法领域信用治理的“双轮”。信用惩戒作为执行“利剑”，以其强大的威慑力对失信行为进行约束和制裁，有力维护了申请执行人的合法权益，保障了司法权威与法律尊严；而信用修复则如同一座桥梁，为失信被执行人提供改过自新的机会，使其能够重新融入社会经济活动。信用修复制度通过设定合理的修复条件与程序，以正向激励方式，促使失信被执行人积极履行义务，给予他们重新获得社会信任的机会，从而平衡司法公权与私权之间的冲突，协调被执行人的人格权益与市场正常经济秩序之间的矛盾，推动社会信用体系良性运转。</w:t>
      </w:r>
    </w:p>
    <w:p w14:paraId="775D0F32">
      <w:pPr>
        <w:numPr>
          <w:ilvl w:val="0"/>
          <w:numId w:val="0"/>
        </w:numPr>
        <w:ind w:firstLine="600" w:firstLineChars="200"/>
        <w:outlineLvl w:val="1"/>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但当前，失信被执行人信用修复制度在司法实践中暴露出诸多问题，这些问题严重制约了信用修复制度功能的充分发挥，影响了执行工作的高效开展。因此，本文将从信用修复制度的现状出发，剖析问题存在的原因，并探讨完善信用修复体系的可行性路径，为推动信用修复制度的良性发展提供参考。</w:t>
      </w:r>
    </w:p>
    <w:p w14:paraId="7AFB299A">
      <w:pPr>
        <w:numPr>
          <w:ilvl w:val="0"/>
          <w:numId w:val="0"/>
        </w:numPr>
        <w:ind w:firstLine="600" w:firstLineChars="200"/>
        <w:outlineLvl w:val="0"/>
        <w:rPr>
          <w:rFonts w:hint="default" w:ascii="黑体" w:hAnsi="黑体" w:eastAsia="黑体" w:cs="黑体"/>
          <w:sz w:val="30"/>
          <w:szCs w:val="30"/>
          <w:lang w:val="en-US" w:eastAsia="zh-CN"/>
        </w:rPr>
      </w:pPr>
      <w:r>
        <w:rPr>
          <w:rFonts w:hint="eastAsia" w:ascii="黑体" w:hAnsi="黑体" w:eastAsia="黑体" w:cs="黑体"/>
          <w:sz w:val="30"/>
          <w:szCs w:val="30"/>
          <w:lang w:val="en-US" w:eastAsia="zh-CN"/>
        </w:rPr>
        <w:t>一、失信被执行人信用修复制度的规范梳理与实践探索</w:t>
      </w:r>
    </w:p>
    <w:p w14:paraId="144CBD05">
      <w:pPr>
        <w:numPr>
          <w:ilvl w:val="0"/>
          <w:numId w:val="0"/>
        </w:numPr>
        <w:ind w:firstLine="600" w:firstLineChars="200"/>
        <w:outlineLvl w:val="1"/>
        <w:rPr>
          <w:rFonts w:hint="eastAsia" w:ascii="仿宋" w:hAnsi="仿宋" w:eastAsia="仿宋" w:cs="仿宋"/>
          <w:color w:val="EE822F" w:themeColor="accent2"/>
          <w:sz w:val="30"/>
          <w:szCs w:val="30"/>
          <w:lang w:val="en-US" w:eastAsia="zh-CN"/>
          <w14:textFill>
            <w14:solidFill>
              <w14:schemeClr w14:val="accent2"/>
            </w14:solidFill>
          </w14:textFill>
        </w:rPr>
      </w:pPr>
      <w:r>
        <w:rPr>
          <w:rFonts w:hint="eastAsia" w:ascii="仿宋" w:hAnsi="仿宋" w:eastAsia="仿宋" w:cs="仿宋"/>
          <w:sz w:val="30"/>
          <w:szCs w:val="30"/>
          <w:lang w:val="en-US" w:eastAsia="zh-CN"/>
        </w:rPr>
        <w:t>在探讨失信被执行人信用修复制度的实践前，需要制度根源入手，对规范文件进行系统梳理。这不仅能明晰信用修复制度的发展脉络，更能理解研究的价值。</w:t>
      </w:r>
    </w:p>
    <w:p w14:paraId="0794072C">
      <w:pPr>
        <w:numPr>
          <w:ilvl w:val="0"/>
          <w:numId w:val="0"/>
        </w:numPr>
        <w:ind w:left="570" w:leftChars="0"/>
        <w:outlineLvl w:val="1"/>
        <w:rPr>
          <w:rFonts w:hint="default" w:ascii="楷体" w:hAnsi="楷体" w:eastAsia="楷体" w:cs="Times New Roman"/>
          <w:bCs/>
          <w:sz w:val="30"/>
          <w:szCs w:val="30"/>
          <w:lang w:val="en-US" w:eastAsia="zh-CN"/>
        </w:rPr>
      </w:pPr>
      <w:r>
        <w:rPr>
          <w:rFonts w:hint="eastAsia" w:ascii="楷体" w:hAnsi="楷体" w:eastAsia="楷体" w:cs="Times New Roman"/>
          <w:bCs/>
          <w:sz w:val="30"/>
          <w:szCs w:val="30"/>
          <w:lang w:val="en-US" w:eastAsia="zh-CN"/>
        </w:rPr>
        <w:t>（一）制度层面：失信被执行人修复制度的规范文件梳理</w:t>
      </w:r>
    </w:p>
    <w:p w14:paraId="690166C5">
      <w:pPr>
        <w:numPr>
          <w:ilvl w:val="0"/>
          <w:numId w:val="0"/>
        </w:numPr>
        <w:ind w:firstLine="600" w:firstLineChars="200"/>
        <w:outlineLvl w:val="1"/>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1.最高人民法院规范文件梳理</w:t>
      </w:r>
    </w:p>
    <w:p w14:paraId="36E4A387">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1"/>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表1：最高人民法关于信用修复制度规范文件统计表</w:t>
      </w:r>
    </w:p>
    <w:tbl>
      <w:tblPr>
        <w:tblStyle w:val="8"/>
        <w:tblW w:w="8241" w:type="dxa"/>
        <w:tblInd w:w="93" w:type="dxa"/>
        <w:tblLayout w:type="fixed"/>
        <w:tblCellMar>
          <w:top w:w="0" w:type="dxa"/>
          <w:left w:w="108" w:type="dxa"/>
          <w:bottom w:w="0" w:type="dxa"/>
          <w:right w:w="108" w:type="dxa"/>
        </w:tblCellMar>
      </w:tblPr>
      <w:tblGrid>
        <w:gridCol w:w="1431"/>
        <w:gridCol w:w="6810"/>
      </w:tblGrid>
      <w:tr w14:paraId="47E1AC12">
        <w:tblPrEx>
          <w:tblCellMar>
            <w:top w:w="0" w:type="dxa"/>
            <w:left w:w="108" w:type="dxa"/>
            <w:bottom w:w="0" w:type="dxa"/>
            <w:right w:w="108" w:type="dxa"/>
          </w:tblCellMar>
        </w:tblPrEx>
        <w:trPr>
          <w:trHeight w:val="567" w:hRule="atLeast"/>
        </w:trPr>
        <w:tc>
          <w:tcPr>
            <w:tcW w:w="1431" w:type="dxa"/>
            <w:tcBorders>
              <w:top w:val="single" w:color="auto" w:sz="4" w:space="0"/>
              <w:left w:val="single" w:color="auto" w:sz="4" w:space="0"/>
              <w:bottom w:val="single" w:color="auto" w:sz="4" w:space="0"/>
              <w:right w:val="single" w:color="auto" w:sz="4" w:space="0"/>
            </w:tcBorders>
            <w:shd w:val="clear" w:color="000000" w:fill="DDD9C4"/>
            <w:noWrap/>
            <w:vAlign w:val="center"/>
          </w:tcPr>
          <w:p w14:paraId="57E7DE53">
            <w:pPr>
              <w:widowControl/>
              <w:jc w:val="center"/>
              <w:rPr>
                <w:rFonts w:hint="default" w:ascii="楷体_GB2312" w:hAnsi="宋体" w:eastAsia="楷体_GB2312" w:cs="宋体"/>
                <w:b/>
                <w:bCs/>
                <w:color w:val="000000"/>
                <w:kern w:val="0"/>
                <w:sz w:val="24"/>
                <w:lang w:val="en-US" w:eastAsia="zh-CN"/>
              </w:rPr>
            </w:pPr>
            <w:r>
              <w:rPr>
                <w:rFonts w:hint="eastAsia" w:ascii="楷体_GB2312" w:hAnsi="宋体" w:eastAsia="楷体_GB2312" w:cs="宋体"/>
                <w:b/>
                <w:bCs/>
                <w:color w:val="000000"/>
                <w:kern w:val="0"/>
                <w:sz w:val="24"/>
                <w:lang w:val="en-US" w:eastAsia="zh-CN"/>
              </w:rPr>
              <w:t>发布时间</w:t>
            </w:r>
          </w:p>
        </w:tc>
        <w:tc>
          <w:tcPr>
            <w:tcW w:w="6810" w:type="dxa"/>
            <w:tcBorders>
              <w:top w:val="single" w:color="auto" w:sz="4" w:space="0"/>
              <w:left w:val="nil"/>
              <w:bottom w:val="single" w:color="auto" w:sz="4" w:space="0"/>
              <w:right w:val="single" w:color="auto" w:sz="4" w:space="0"/>
            </w:tcBorders>
            <w:shd w:val="clear" w:color="000000" w:fill="DDD9C4"/>
            <w:noWrap/>
            <w:vAlign w:val="center"/>
          </w:tcPr>
          <w:p w14:paraId="588D9BF4">
            <w:pPr>
              <w:widowControl/>
              <w:jc w:val="center"/>
              <w:rPr>
                <w:rFonts w:hint="default" w:ascii="楷体_GB2312" w:hAnsi="宋体" w:eastAsia="楷体_GB2312" w:cs="宋体"/>
                <w:b/>
                <w:bCs/>
                <w:color w:val="000000"/>
                <w:kern w:val="0"/>
                <w:sz w:val="24"/>
                <w:lang w:val="en-US" w:eastAsia="zh-CN"/>
              </w:rPr>
            </w:pPr>
            <w:r>
              <w:rPr>
                <w:rFonts w:hint="eastAsia" w:ascii="楷体_GB2312" w:hAnsi="宋体" w:eastAsia="楷体_GB2312" w:cs="宋体"/>
                <w:b/>
                <w:bCs/>
                <w:color w:val="000000"/>
                <w:kern w:val="0"/>
                <w:sz w:val="24"/>
                <w:lang w:val="en-US" w:eastAsia="zh-CN"/>
              </w:rPr>
              <w:t>文件名</w:t>
            </w:r>
          </w:p>
        </w:tc>
      </w:tr>
      <w:tr w14:paraId="372A55B5">
        <w:tblPrEx>
          <w:tblCellMar>
            <w:top w:w="0" w:type="dxa"/>
            <w:left w:w="108" w:type="dxa"/>
            <w:bottom w:w="0" w:type="dxa"/>
            <w:right w:w="108" w:type="dxa"/>
          </w:tblCellMar>
        </w:tblPrEx>
        <w:trPr>
          <w:trHeight w:val="507" w:hRule="atLeast"/>
        </w:trPr>
        <w:tc>
          <w:tcPr>
            <w:tcW w:w="1431" w:type="dxa"/>
            <w:tcBorders>
              <w:top w:val="nil"/>
              <w:left w:val="single" w:color="auto" w:sz="4" w:space="0"/>
              <w:bottom w:val="single" w:color="auto" w:sz="4" w:space="0"/>
              <w:right w:val="single" w:color="auto" w:sz="4" w:space="0"/>
            </w:tcBorders>
            <w:shd w:val="clear" w:color="auto" w:fill="auto"/>
            <w:noWrap/>
            <w:vAlign w:val="center"/>
          </w:tcPr>
          <w:p w14:paraId="2110D3CB">
            <w:pPr>
              <w:widowControl/>
              <w:jc w:val="center"/>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2013.7.16</w:t>
            </w:r>
          </w:p>
        </w:tc>
        <w:tc>
          <w:tcPr>
            <w:tcW w:w="6810" w:type="dxa"/>
            <w:tcBorders>
              <w:top w:val="nil"/>
              <w:left w:val="nil"/>
              <w:bottom w:val="single" w:color="auto" w:sz="4" w:space="0"/>
              <w:right w:val="single" w:color="auto" w:sz="4" w:space="0"/>
            </w:tcBorders>
            <w:shd w:val="clear" w:color="auto" w:fill="auto"/>
            <w:noWrap/>
            <w:vAlign w:val="center"/>
          </w:tcPr>
          <w:p w14:paraId="0F0EF697">
            <w:pPr>
              <w:widowControl/>
              <w:jc w:val="center"/>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《关于公布失信被执行人名单信息的若干规定》</w:t>
            </w:r>
          </w:p>
        </w:tc>
      </w:tr>
      <w:tr w14:paraId="184E57B9">
        <w:tblPrEx>
          <w:tblCellMar>
            <w:top w:w="0" w:type="dxa"/>
            <w:left w:w="108" w:type="dxa"/>
            <w:bottom w:w="0" w:type="dxa"/>
            <w:right w:w="108" w:type="dxa"/>
          </w:tblCellMar>
        </w:tblPrEx>
        <w:trPr>
          <w:trHeight w:val="439" w:hRule="atLeast"/>
        </w:trPr>
        <w:tc>
          <w:tcPr>
            <w:tcW w:w="1431" w:type="dxa"/>
            <w:tcBorders>
              <w:top w:val="nil"/>
              <w:left w:val="single" w:color="auto" w:sz="4" w:space="0"/>
              <w:bottom w:val="single" w:color="auto" w:sz="4" w:space="0"/>
              <w:right w:val="single" w:color="auto" w:sz="4" w:space="0"/>
            </w:tcBorders>
            <w:shd w:val="clear" w:color="auto" w:fill="auto"/>
            <w:noWrap/>
            <w:vAlign w:val="center"/>
          </w:tcPr>
          <w:p w14:paraId="7FBD2E07">
            <w:pPr>
              <w:widowControl/>
              <w:jc w:val="center"/>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2017.2.28</w:t>
            </w:r>
          </w:p>
        </w:tc>
        <w:tc>
          <w:tcPr>
            <w:tcW w:w="6810" w:type="dxa"/>
            <w:tcBorders>
              <w:top w:val="nil"/>
              <w:left w:val="nil"/>
              <w:bottom w:val="single" w:color="auto" w:sz="4" w:space="0"/>
              <w:right w:val="single" w:color="auto" w:sz="4" w:space="0"/>
            </w:tcBorders>
            <w:shd w:val="clear" w:color="auto" w:fill="auto"/>
            <w:noWrap/>
            <w:vAlign w:val="center"/>
          </w:tcPr>
          <w:p w14:paraId="10BE724C">
            <w:pPr>
              <w:widowControl/>
              <w:jc w:val="center"/>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《关于公布失信被执行人名单信息的若干规定》（修正）</w:t>
            </w:r>
          </w:p>
        </w:tc>
      </w:tr>
      <w:tr w14:paraId="2A99F3BD">
        <w:tblPrEx>
          <w:tblCellMar>
            <w:top w:w="0" w:type="dxa"/>
            <w:left w:w="108" w:type="dxa"/>
            <w:bottom w:w="0" w:type="dxa"/>
            <w:right w:w="108" w:type="dxa"/>
          </w:tblCellMar>
        </w:tblPrEx>
        <w:trPr>
          <w:trHeight w:val="457" w:hRule="atLeast"/>
        </w:trPr>
        <w:tc>
          <w:tcPr>
            <w:tcW w:w="1431" w:type="dxa"/>
            <w:tcBorders>
              <w:top w:val="nil"/>
              <w:left w:val="single" w:color="auto" w:sz="4" w:space="0"/>
              <w:bottom w:val="single" w:color="auto" w:sz="4" w:space="0"/>
              <w:right w:val="single" w:color="auto" w:sz="4" w:space="0"/>
            </w:tcBorders>
            <w:shd w:val="clear" w:color="auto" w:fill="auto"/>
            <w:noWrap/>
            <w:vAlign w:val="center"/>
          </w:tcPr>
          <w:p w14:paraId="64ADF608">
            <w:pPr>
              <w:widowControl/>
              <w:jc w:val="center"/>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2018.5.28</w:t>
            </w:r>
          </w:p>
        </w:tc>
        <w:tc>
          <w:tcPr>
            <w:tcW w:w="6810" w:type="dxa"/>
            <w:tcBorders>
              <w:top w:val="nil"/>
              <w:left w:val="nil"/>
              <w:bottom w:val="single" w:color="auto" w:sz="4" w:space="0"/>
              <w:right w:val="single" w:color="auto" w:sz="4" w:space="0"/>
            </w:tcBorders>
            <w:shd w:val="clear" w:color="auto" w:fill="auto"/>
            <w:noWrap/>
            <w:vAlign w:val="center"/>
          </w:tcPr>
          <w:p w14:paraId="552A17ED">
            <w:pPr>
              <w:widowControl/>
              <w:jc w:val="center"/>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《关于进一步规范近期执行工作相关问题的通知》</w:t>
            </w:r>
          </w:p>
        </w:tc>
      </w:tr>
      <w:tr w14:paraId="0967D6D9">
        <w:tblPrEx>
          <w:tblCellMar>
            <w:top w:w="0" w:type="dxa"/>
            <w:left w:w="108" w:type="dxa"/>
            <w:bottom w:w="0" w:type="dxa"/>
            <w:right w:w="108" w:type="dxa"/>
          </w:tblCellMar>
        </w:tblPrEx>
        <w:trPr>
          <w:trHeight w:val="462" w:hRule="atLeast"/>
        </w:trPr>
        <w:tc>
          <w:tcPr>
            <w:tcW w:w="14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E1DF38">
            <w:pPr>
              <w:widowControl/>
              <w:jc w:val="center"/>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2019.6.3</w:t>
            </w:r>
          </w:p>
        </w:tc>
        <w:tc>
          <w:tcPr>
            <w:tcW w:w="68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7C528B">
            <w:pPr>
              <w:widowControl/>
              <w:jc w:val="center"/>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 xml:space="preserve">《关于深化执行改革健全解决执行难长效机制的意见——人民法院执行工作纲要》 </w:t>
            </w:r>
          </w:p>
        </w:tc>
      </w:tr>
      <w:tr w14:paraId="706DAE9A">
        <w:tblPrEx>
          <w:tblCellMar>
            <w:top w:w="0" w:type="dxa"/>
            <w:left w:w="108" w:type="dxa"/>
            <w:bottom w:w="0" w:type="dxa"/>
            <w:right w:w="108" w:type="dxa"/>
          </w:tblCellMar>
        </w:tblPrEx>
        <w:trPr>
          <w:trHeight w:val="475" w:hRule="atLeast"/>
        </w:trPr>
        <w:tc>
          <w:tcPr>
            <w:tcW w:w="14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23B6BF">
            <w:pPr>
              <w:widowControl/>
              <w:jc w:val="center"/>
              <w:rPr>
                <w:rFonts w:hint="default"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2019.12.16</w:t>
            </w:r>
          </w:p>
        </w:tc>
        <w:tc>
          <w:tcPr>
            <w:tcW w:w="68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E25B2B">
            <w:pPr>
              <w:widowControl/>
              <w:jc w:val="center"/>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《关于在执行工作中进一步强化善意文明执行理念的意见》</w:t>
            </w:r>
          </w:p>
        </w:tc>
      </w:tr>
      <w:tr w14:paraId="61D0AAF8">
        <w:tblPrEx>
          <w:tblCellMar>
            <w:top w:w="0" w:type="dxa"/>
            <w:left w:w="108" w:type="dxa"/>
            <w:bottom w:w="0" w:type="dxa"/>
            <w:right w:w="108" w:type="dxa"/>
          </w:tblCellMar>
        </w:tblPrEx>
        <w:trPr>
          <w:trHeight w:val="427" w:hRule="atLeast"/>
        </w:trPr>
        <w:tc>
          <w:tcPr>
            <w:tcW w:w="14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3EEE91">
            <w:pPr>
              <w:widowControl/>
              <w:jc w:val="center"/>
              <w:rPr>
                <w:rFonts w:hint="default"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2020.5.13</w:t>
            </w:r>
          </w:p>
        </w:tc>
        <w:tc>
          <w:tcPr>
            <w:tcW w:w="68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392098">
            <w:pPr>
              <w:widowControl/>
              <w:jc w:val="center"/>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《关于依法妥善办理涉新冠肺炎疫情执行案件若干问题的指导意见》</w:t>
            </w:r>
          </w:p>
        </w:tc>
      </w:tr>
      <w:tr w14:paraId="7ED99CE5">
        <w:tblPrEx>
          <w:tblCellMar>
            <w:top w:w="0" w:type="dxa"/>
            <w:left w:w="108" w:type="dxa"/>
            <w:bottom w:w="0" w:type="dxa"/>
            <w:right w:w="108" w:type="dxa"/>
          </w:tblCellMar>
        </w:tblPrEx>
        <w:trPr>
          <w:trHeight w:val="492" w:hRule="atLeast"/>
        </w:trPr>
        <w:tc>
          <w:tcPr>
            <w:tcW w:w="14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BE7FE6">
            <w:pPr>
              <w:widowControl/>
              <w:jc w:val="center"/>
              <w:rPr>
                <w:rFonts w:hint="default"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2022.1.13</w:t>
            </w:r>
          </w:p>
        </w:tc>
        <w:tc>
          <w:tcPr>
            <w:tcW w:w="68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F06DA9">
            <w:pPr>
              <w:widowControl/>
              <w:jc w:val="center"/>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《关于充分发挥司法职能作用 助力中小微企业发展的指导意见》</w:t>
            </w:r>
          </w:p>
        </w:tc>
      </w:tr>
      <w:tr w14:paraId="271E89E8">
        <w:tblPrEx>
          <w:tblCellMar>
            <w:top w:w="0" w:type="dxa"/>
            <w:left w:w="108" w:type="dxa"/>
            <w:bottom w:w="0" w:type="dxa"/>
            <w:right w:w="108" w:type="dxa"/>
          </w:tblCellMar>
        </w:tblPrEx>
        <w:trPr>
          <w:trHeight w:val="492" w:hRule="atLeast"/>
        </w:trPr>
        <w:tc>
          <w:tcPr>
            <w:tcW w:w="14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201E48">
            <w:pPr>
              <w:widowControl/>
              <w:jc w:val="center"/>
              <w:rPr>
                <w:rFonts w:hint="default"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2022.7.14</w:t>
            </w:r>
          </w:p>
        </w:tc>
        <w:tc>
          <w:tcPr>
            <w:tcW w:w="68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397B3D">
            <w:pPr>
              <w:widowControl/>
              <w:jc w:val="center"/>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《关于为加快建设全国统一大市场提供司法服务和保障的意见》</w:t>
            </w:r>
          </w:p>
        </w:tc>
      </w:tr>
    </w:tbl>
    <w:p w14:paraId="3AEF6022">
      <w:pPr>
        <w:numPr>
          <w:ilvl w:val="0"/>
          <w:numId w:val="0"/>
        </w:numPr>
        <w:ind w:firstLine="600" w:firstLineChars="200"/>
        <w:outlineLvl w:val="1"/>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从上表可以看出，最高人民法院关于信用修复制度的规范性文件存在以下特点：</w:t>
      </w:r>
    </w:p>
    <w:p w14:paraId="0B8C0775">
      <w:pPr>
        <w:numPr>
          <w:ilvl w:val="0"/>
          <w:numId w:val="1"/>
        </w:numPr>
        <w:ind w:firstLine="600" w:firstLineChars="200"/>
        <w:outlineLvl w:val="1"/>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信用修复制度渐进式探索完善</w:t>
      </w:r>
    </w:p>
    <w:p w14:paraId="178E25F1">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outlineLvl w:val="1"/>
        <w:rPr>
          <w:rFonts w:hint="default" w:ascii="仿宋" w:hAnsi="仿宋" w:eastAsia="仿宋" w:cs="仿宋"/>
          <w:sz w:val="30"/>
          <w:szCs w:val="30"/>
          <w:lang w:val="en-US" w:eastAsia="zh-CN"/>
        </w:rPr>
        <w:sectPr>
          <w:footerReference r:id="rId4" w:type="default"/>
          <w:footnotePr>
            <w:numFmt w:val="decimalEnclosedCircleChinese"/>
            <w:numRestart w:val="eachPage"/>
          </w:footnotePr>
          <w:pgSz w:w="11906" w:h="16838"/>
          <w:pgMar w:top="1440" w:right="1800" w:bottom="1440" w:left="1800" w:header="851" w:footer="992" w:gutter="0"/>
          <w:cols w:space="425" w:num="1"/>
          <w:docGrid w:type="lines" w:linePitch="312" w:charSpace="0"/>
        </w:sectPr>
      </w:pPr>
      <w:r>
        <w:rPr>
          <w:rFonts w:hint="eastAsia" w:ascii="仿宋" w:hAnsi="仿宋" w:eastAsia="仿宋" w:cs="仿宋"/>
          <w:sz w:val="30"/>
          <w:szCs w:val="30"/>
          <w:lang w:val="en-US" w:eastAsia="zh-CN"/>
        </w:rPr>
        <w:t>2013年公布的《关于公布失信被执行人名单信息的若干规定》（以下简称《公布失信名单规定》）确立失信名单制度</w:t>
      </w:r>
      <w:r>
        <w:rPr>
          <w:rFonts w:hint="eastAsia" w:ascii="仿宋" w:hAnsi="仿宋" w:eastAsia="仿宋" w:cs="仿宋"/>
          <w:sz w:val="30"/>
          <w:szCs w:val="30"/>
          <w:vertAlign w:val="superscript"/>
          <w:lang w:val="en-US" w:eastAsia="zh-CN"/>
        </w:rPr>
        <w:footnoteReference w:id="0"/>
      </w:r>
      <w:r>
        <w:rPr>
          <w:rFonts w:hint="eastAsia" w:ascii="仿宋" w:hAnsi="仿宋" w:eastAsia="仿宋" w:cs="仿宋"/>
          <w:sz w:val="30"/>
          <w:szCs w:val="30"/>
          <w:lang w:val="en-US" w:eastAsia="zh-CN"/>
        </w:rPr>
        <w:t>，成为信用修复的基础框架。2017年修订该规定，完善名单撤销</w:t>
      </w:r>
      <w:r>
        <w:rPr>
          <w:rFonts w:hint="eastAsia" w:ascii="仿宋" w:hAnsi="仿宋" w:eastAsia="仿宋" w:cs="仿宋"/>
          <w:sz w:val="30"/>
          <w:szCs w:val="30"/>
          <w:vertAlign w:val="superscript"/>
          <w:lang w:val="en-US" w:eastAsia="zh-CN"/>
        </w:rPr>
        <w:footnoteReference w:id="1"/>
      </w:r>
      <w:r>
        <w:rPr>
          <w:rFonts w:hint="eastAsia" w:ascii="仿宋" w:hAnsi="仿宋" w:eastAsia="仿宋" w:cs="仿宋"/>
          <w:sz w:val="30"/>
          <w:szCs w:val="30"/>
          <w:lang w:val="en-US" w:eastAsia="zh-CN"/>
        </w:rPr>
        <w:t>、删除</w:t>
      </w:r>
      <w:r>
        <w:rPr>
          <w:rFonts w:hint="eastAsia" w:ascii="仿宋" w:hAnsi="仿宋" w:eastAsia="仿宋" w:cs="仿宋"/>
          <w:sz w:val="30"/>
          <w:szCs w:val="30"/>
          <w:vertAlign w:val="superscript"/>
          <w:lang w:val="en-US" w:eastAsia="zh-CN"/>
        </w:rPr>
        <w:footnoteReference w:id="2"/>
      </w:r>
      <w:r>
        <w:rPr>
          <w:rFonts w:hint="eastAsia" w:ascii="仿宋" w:hAnsi="仿宋" w:eastAsia="仿宋" w:cs="仿宋"/>
          <w:sz w:val="30"/>
          <w:szCs w:val="30"/>
          <w:lang w:val="en-US" w:eastAsia="zh-CN"/>
        </w:rPr>
        <w:t>、纠正等内容，初步探索信用修复路径。2018年《关于进一步规范近期执行工作相关问题的通知》，细化失信撤销、屏蔽</w:t>
      </w:r>
    </w:p>
    <w:p w14:paraId="5F8A5401">
      <w:pPr>
        <w:keepNext w:val="0"/>
        <w:keepLines w:val="0"/>
        <w:pageBreakBefore w:val="0"/>
        <w:widowControl w:val="0"/>
        <w:numPr>
          <w:ilvl w:val="0"/>
          <w:numId w:val="0"/>
        </w:numPr>
        <w:kinsoku/>
        <w:wordWrap/>
        <w:overflowPunct/>
        <w:topLinePunct w:val="0"/>
        <w:autoSpaceDE/>
        <w:autoSpaceDN/>
        <w:bidi w:val="0"/>
        <w:adjustRightInd/>
        <w:snapToGrid/>
        <w:ind w:firstLine="0" w:firstLineChars="0"/>
        <w:textAlignment w:val="auto"/>
        <w:outlineLvl w:val="1"/>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让修复规则更具操作性。2019年是关键节点，《关于深化执行改革健全解决执行难长效机制的意见——人民法院执行工作纲要》，首次在顶层设计探索信用修复与守信激励，开启制度系统性构建。同年《关于在执行工作中进一步强化善意文明执行理念的意见》，聚焦“及时删除失信信息”，以责任约束保障修复流程效率，从执行理念层面为修复护航 。面对现实挑战，制度持续调整。2020年，为应对疫情冲击，《关于依法妥善办理涉新冠肺炎疫情执行案件若干问题的指导意见》提出“健全信用修复机制”，助力中小微企业复工复产。2022年，《关于充分发挥司法职能作用 助力中小微企业发展的指导意见》再次强调健全修复机制；《关于为加快建设全国统一大市场提供司法服务和保障的意见》，则将信用修复与惩戒协同，融入国家战略大局。最高人民法院通过上述系列文件，逐步构建起信用修复制度体系，既给失信主体纠错机会，又维护司法权威与市场信用，为诚信社会建设提供司法支撑。</w:t>
      </w:r>
    </w:p>
    <w:p w14:paraId="5FDB090F">
      <w:pPr>
        <w:numPr>
          <w:ilvl w:val="0"/>
          <w:numId w:val="0"/>
        </w:numPr>
        <w:ind w:firstLine="600" w:firstLineChars="200"/>
        <w:outlineLvl w:val="1"/>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（2）信用修复制度没有专门的规范文件</w:t>
      </w:r>
    </w:p>
    <w:p w14:paraId="5E15AED3">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outlineLvl w:val="1"/>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信用修复制度多散见于执行工作相关规范文件。信用修复制度依托执行工作体系，其并非独立成章，而是融入执行工作流程，像围绕失信被执行人名单管理、善意文明执行、执行和解与破产重整等执行环节规定信用修复相关内容，借执行程序推进实现信用修复。信用修复制度与善意文明执行理念融合，其以善意文明执行为依托，强调区分失信情形（如把确无履行能力的“失能”被执行人，与有能力拒不履行“失信”区分），为信用修复创造条件，既通过惩戒督促履行，又给积极纠错、确有困难的主体修复信用的通道，平衡惩戒与修复。信用修复制度注重与实践结合，结合疫情、中小微企业发展等现实情况，在执行中预留信用修复空间（如涉疫案件、助力企业文件），让信用修复贴合经济社会运行需求。</w:t>
      </w:r>
    </w:p>
    <w:p w14:paraId="27B626E9">
      <w:pPr>
        <w:numPr>
          <w:ilvl w:val="0"/>
          <w:numId w:val="0"/>
        </w:numPr>
        <w:ind w:firstLine="600" w:firstLineChars="200"/>
        <w:outlineLvl w:val="1"/>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（3）信用修复制度规定较为原则</w:t>
      </w:r>
    </w:p>
    <w:p w14:paraId="7D2370B4">
      <w:pPr>
        <w:numPr>
          <w:ilvl w:val="0"/>
          <w:numId w:val="0"/>
        </w:numPr>
        <w:ind w:firstLine="600" w:firstLineChars="200"/>
        <w:outlineLvl w:val="1"/>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最高人民法院关于信用修复的规范性文件大致指明了失信被执行人信用修复制度的建设方向，即在社会信用体系建设的背景下进一步提高失失信被执行人信用修复的精准性和实效性，鼓励各类失信主体积极履行生效法律文书确定的义务，以提高社会诚信建设水平。但很多规定较为原则，如最高人民法院发布《关于深化执行改革健全解决执行难长效机制的意见——人民法院执行工作纲要 》中仅提到要“结合执行工作实际，探索建立守信激励和失信被执行人信用修复制度”。再如信用修复适用情形，规定被执行人全部履行生效法律文书确定义务、与申请执行人达成执行和解协议并履行完毕等可删除失信信息，但对何为“全部履行”“履行完毕”，并未明确。</w:t>
      </w:r>
    </w:p>
    <w:p w14:paraId="290D4684">
      <w:pPr>
        <w:numPr>
          <w:ilvl w:val="0"/>
          <w:numId w:val="0"/>
        </w:numPr>
        <w:ind w:firstLine="600" w:firstLineChars="200"/>
        <w:outlineLvl w:val="1"/>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2.地方规范文件梳理</w:t>
      </w:r>
    </w:p>
    <w:p w14:paraId="6DB9CCAD">
      <w:pPr>
        <w:numPr>
          <w:ilvl w:val="0"/>
          <w:numId w:val="0"/>
        </w:numPr>
        <w:ind w:firstLine="600" w:firstLineChars="200"/>
        <w:outlineLvl w:val="1"/>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笔者在法信平台上，以“失信被执行人”为关键词进行搜索，共检索到12份地方司法文件，以“信用修复”为关键词进行搜索，共检索到14份地方司法文件。剔除重复及无关的地方司法文件，共筛选出15份作为本文的分析样本。</w:t>
      </w:r>
    </w:p>
    <w:p w14:paraId="3010E3A7">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1"/>
        <w:rPr>
          <w:rFonts w:hint="default" w:ascii="仿宋" w:hAnsi="仿宋" w:eastAsia="仿宋" w:cs="仿宋"/>
          <w:b/>
          <w:bCs/>
          <w:sz w:val="28"/>
          <w:szCs w:val="28"/>
          <w:lang w:val="en-US" w:eastAsia="zh-CN"/>
        </w:rPr>
      </w:pPr>
      <w:r>
        <w:rPr>
          <w:rFonts w:hint="default" w:ascii="仿宋" w:hAnsi="仿宋" w:eastAsia="仿宋" w:cs="仿宋"/>
          <w:b/>
          <w:bCs/>
          <w:sz w:val="28"/>
          <w:szCs w:val="28"/>
          <w:lang w:val="en-US" w:eastAsia="zh-CN"/>
        </w:rPr>
        <w:t>表</w:t>
      </w:r>
      <w:r>
        <w:rPr>
          <w:rFonts w:hint="eastAsia" w:ascii="仿宋" w:hAnsi="仿宋" w:eastAsia="仿宋" w:cs="仿宋"/>
          <w:b/>
          <w:bCs/>
          <w:sz w:val="28"/>
          <w:szCs w:val="28"/>
          <w:lang w:val="en-US" w:eastAsia="zh-CN"/>
        </w:rPr>
        <w:t>2：</w:t>
      </w:r>
      <w:r>
        <w:rPr>
          <w:rFonts w:hint="default" w:ascii="仿宋" w:hAnsi="仿宋" w:eastAsia="仿宋" w:cs="仿宋"/>
          <w:b/>
          <w:bCs/>
          <w:sz w:val="28"/>
          <w:szCs w:val="28"/>
          <w:lang w:val="en-US" w:eastAsia="zh-CN"/>
        </w:rPr>
        <w:t xml:space="preserve"> 地方有关失信被执行人信用修复机制的规定</w:t>
      </w:r>
    </w:p>
    <w:tbl>
      <w:tblPr>
        <w:tblStyle w:val="8"/>
        <w:tblW w:w="8250" w:type="dxa"/>
        <w:tblInd w:w="91" w:type="dxa"/>
        <w:tblLayout w:type="fixed"/>
        <w:tblCellMar>
          <w:top w:w="0" w:type="dxa"/>
          <w:left w:w="108" w:type="dxa"/>
          <w:bottom w:w="0" w:type="dxa"/>
          <w:right w:w="108" w:type="dxa"/>
        </w:tblCellMar>
      </w:tblPr>
      <w:tblGrid>
        <w:gridCol w:w="763"/>
        <w:gridCol w:w="1000"/>
        <w:gridCol w:w="2600"/>
        <w:gridCol w:w="3887"/>
      </w:tblGrid>
      <w:tr w14:paraId="59C245B2">
        <w:tblPrEx>
          <w:tblCellMar>
            <w:top w:w="0" w:type="dxa"/>
            <w:left w:w="108" w:type="dxa"/>
            <w:bottom w:w="0" w:type="dxa"/>
            <w:right w:w="108" w:type="dxa"/>
          </w:tblCellMar>
        </w:tblPrEx>
        <w:trPr>
          <w:trHeight w:val="567" w:hRule="exact"/>
        </w:trPr>
        <w:tc>
          <w:tcPr>
            <w:tcW w:w="763" w:type="dxa"/>
            <w:tcBorders>
              <w:top w:val="single" w:color="auto" w:sz="4" w:space="0"/>
              <w:left w:val="single" w:color="auto" w:sz="4" w:space="0"/>
              <w:bottom w:val="single" w:color="auto" w:sz="4" w:space="0"/>
              <w:right w:val="single" w:color="auto" w:sz="4" w:space="0"/>
            </w:tcBorders>
            <w:shd w:val="clear" w:color="000000" w:fill="DDD9C4"/>
            <w:noWrap/>
            <w:vAlign w:val="center"/>
          </w:tcPr>
          <w:p w14:paraId="4A176246">
            <w:pPr>
              <w:widowControl/>
              <w:jc w:val="center"/>
              <w:rPr>
                <w:rFonts w:hint="default" w:ascii="楷体_GB2312" w:hAnsi="宋体" w:eastAsia="楷体_GB2312" w:cs="宋体"/>
                <w:b/>
                <w:bCs/>
                <w:color w:val="000000"/>
                <w:kern w:val="0"/>
                <w:sz w:val="24"/>
                <w:lang w:val="en-US" w:eastAsia="zh-CN"/>
              </w:rPr>
            </w:pPr>
            <w:r>
              <w:rPr>
                <w:rFonts w:hint="eastAsia" w:ascii="楷体_GB2312" w:hAnsi="宋体" w:eastAsia="楷体_GB2312" w:cs="宋体"/>
                <w:b/>
                <w:bCs/>
                <w:color w:val="000000"/>
                <w:kern w:val="0"/>
                <w:sz w:val="24"/>
                <w:lang w:val="en-US" w:eastAsia="zh-CN"/>
              </w:rPr>
              <w:t>层级</w:t>
            </w:r>
          </w:p>
        </w:tc>
        <w:tc>
          <w:tcPr>
            <w:tcW w:w="1000" w:type="dxa"/>
            <w:tcBorders>
              <w:top w:val="single" w:color="auto" w:sz="4" w:space="0"/>
              <w:left w:val="single" w:color="auto" w:sz="4" w:space="0"/>
              <w:bottom w:val="single" w:color="auto" w:sz="4" w:space="0"/>
              <w:right w:val="single" w:color="auto" w:sz="4" w:space="0"/>
            </w:tcBorders>
            <w:shd w:val="clear" w:color="000000" w:fill="DDD9C4"/>
            <w:noWrap/>
            <w:vAlign w:val="center"/>
          </w:tcPr>
          <w:p w14:paraId="338D83EA">
            <w:pPr>
              <w:widowControl/>
              <w:jc w:val="center"/>
              <w:rPr>
                <w:rFonts w:hint="default" w:ascii="楷体_GB2312" w:hAnsi="宋体" w:eastAsia="楷体_GB2312" w:cs="宋体"/>
                <w:b/>
                <w:bCs/>
                <w:color w:val="000000"/>
                <w:kern w:val="0"/>
                <w:sz w:val="24"/>
                <w:lang w:val="en-US" w:eastAsia="zh-CN"/>
              </w:rPr>
            </w:pPr>
            <w:r>
              <w:rPr>
                <w:rFonts w:hint="eastAsia" w:ascii="楷体_GB2312" w:hAnsi="宋体" w:eastAsia="楷体_GB2312" w:cs="宋体"/>
                <w:b/>
                <w:bCs/>
                <w:color w:val="000000"/>
                <w:kern w:val="0"/>
                <w:sz w:val="24"/>
                <w:lang w:val="en-US" w:eastAsia="zh-CN"/>
              </w:rPr>
              <w:t>时间</w:t>
            </w:r>
          </w:p>
        </w:tc>
        <w:tc>
          <w:tcPr>
            <w:tcW w:w="2600" w:type="dxa"/>
            <w:tcBorders>
              <w:top w:val="single" w:color="auto" w:sz="4" w:space="0"/>
              <w:left w:val="single" w:color="auto" w:sz="4" w:space="0"/>
              <w:bottom w:val="single" w:color="auto" w:sz="4" w:space="0"/>
              <w:right w:val="single" w:color="auto" w:sz="4" w:space="0"/>
            </w:tcBorders>
            <w:shd w:val="clear" w:color="000000" w:fill="DDD9C4"/>
            <w:noWrap/>
            <w:vAlign w:val="center"/>
          </w:tcPr>
          <w:p w14:paraId="7A0F27C6">
            <w:pPr>
              <w:widowControl/>
              <w:jc w:val="center"/>
              <w:rPr>
                <w:rFonts w:hint="default" w:ascii="楷体_GB2312" w:hAnsi="宋体" w:eastAsia="楷体_GB2312" w:cs="宋体"/>
                <w:b/>
                <w:bCs/>
                <w:color w:val="000000"/>
                <w:kern w:val="0"/>
                <w:sz w:val="24"/>
                <w:lang w:val="en-US" w:eastAsia="zh-CN"/>
              </w:rPr>
            </w:pPr>
            <w:r>
              <w:rPr>
                <w:rFonts w:hint="eastAsia" w:ascii="楷体_GB2312" w:hAnsi="宋体" w:eastAsia="楷体_GB2312" w:cs="宋体"/>
                <w:b/>
                <w:bCs/>
                <w:color w:val="000000"/>
                <w:kern w:val="0"/>
                <w:sz w:val="24"/>
                <w:lang w:val="en-US" w:eastAsia="zh-CN"/>
              </w:rPr>
              <w:t>制定主体</w:t>
            </w:r>
          </w:p>
        </w:tc>
        <w:tc>
          <w:tcPr>
            <w:tcW w:w="3887" w:type="dxa"/>
            <w:tcBorders>
              <w:top w:val="single" w:color="auto" w:sz="4" w:space="0"/>
              <w:left w:val="single" w:color="auto" w:sz="4" w:space="0"/>
              <w:bottom w:val="single" w:color="auto" w:sz="4" w:space="0"/>
              <w:right w:val="single" w:color="auto" w:sz="4" w:space="0"/>
            </w:tcBorders>
            <w:shd w:val="clear" w:color="000000" w:fill="DDD9C4"/>
            <w:noWrap/>
            <w:vAlign w:val="center"/>
          </w:tcPr>
          <w:p w14:paraId="13FDCA78">
            <w:pPr>
              <w:widowControl/>
              <w:jc w:val="center"/>
              <w:rPr>
                <w:rFonts w:hint="default" w:ascii="楷体_GB2312" w:hAnsi="宋体" w:eastAsia="楷体_GB2312" w:cs="宋体"/>
                <w:b/>
                <w:bCs/>
                <w:color w:val="000000"/>
                <w:kern w:val="0"/>
                <w:sz w:val="24"/>
                <w:lang w:val="en-US" w:eastAsia="zh-CN"/>
              </w:rPr>
            </w:pPr>
            <w:r>
              <w:rPr>
                <w:rFonts w:hint="eastAsia" w:ascii="楷体_GB2312" w:hAnsi="宋体" w:eastAsia="楷体_GB2312" w:cs="宋体"/>
                <w:b/>
                <w:bCs/>
                <w:color w:val="000000"/>
                <w:kern w:val="0"/>
                <w:sz w:val="24"/>
                <w:lang w:val="en-US" w:eastAsia="zh-CN"/>
              </w:rPr>
              <w:t>文件名称</w:t>
            </w:r>
          </w:p>
        </w:tc>
      </w:tr>
      <w:tr w14:paraId="5EA84783">
        <w:tblPrEx>
          <w:tblCellMar>
            <w:top w:w="0" w:type="dxa"/>
            <w:left w:w="108" w:type="dxa"/>
            <w:bottom w:w="0" w:type="dxa"/>
            <w:right w:w="108" w:type="dxa"/>
          </w:tblCellMar>
        </w:tblPrEx>
        <w:trPr>
          <w:trHeight w:val="567" w:hRule="exact"/>
        </w:trPr>
        <w:tc>
          <w:tcPr>
            <w:tcW w:w="763" w:type="dxa"/>
            <w:vMerge w:val="restart"/>
            <w:tcBorders>
              <w:top w:val="single" w:color="auto" w:sz="4" w:space="0"/>
              <w:left w:val="single" w:color="auto" w:sz="4" w:space="0"/>
              <w:right w:val="single" w:color="auto" w:sz="4" w:space="0"/>
            </w:tcBorders>
            <w:shd w:val="clear" w:color="auto" w:fill="auto"/>
            <w:noWrap/>
            <w:vAlign w:val="center"/>
          </w:tcPr>
          <w:p w14:paraId="76AF2A94">
            <w:pPr>
              <w:widowControl/>
              <w:jc w:val="center"/>
              <w:rPr>
                <w:rFonts w:hint="eastAsia" w:ascii="楷体" w:hAnsi="楷体" w:eastAsia="楷体" w:cs="楷体"/>
                <w:b w:val="0"/>
                <w:bCs w:val="0"/>
                <w:sz w:val="18"/>
                <w:szCs w:val="18"/>
                <w:lang w:val="en-US" w:eastAsia="zh-CN"/>
              </w:rPr>
            </w:pPr>
          </w:p>
          <w:p w14:paraId="0B426ECB">
            <w:pPr>
              <w:widowControl/>
              <w:jc w:val="center"/>
              <w:rPr>
                <w:rFonts w:hint="eastAsia" w:ascii="楷体" w:hAnsi="楷体" w:eastAsia="楷体" w:cs="楷体"/>
                <w:b w:val="0"/>
                <w:bCs w:val="0"/>
                <w:sz w:val="18"/>
                <w:szCs w:val="18"/>
                <w:lang w:val="en-US" w:eastAsia="zh-CN"/>
              </w:rPr>
            </w:pPr>
          </w:p>
          <w:p w14:paraId="6ADEEE54">
            <w:pPr>
              <w:widowControl/>
              <w:jc w:val="center"/>
              <w:rPr>
                <w:rFonts w:hint="default"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高院</w:t>
            </w:r>
          </w:p>
        </w:tc>
        <w:tc>
          <w:tcPr>
            <w:tcW w:w="10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13B88A">
            <w:pPr>
              <w:widowControl/>
              <w:jc w:val="center"/>
              <w:rPr>
                <w:rFonts w:hint="eastAsia" w:ascii="楷体" w:hAnsi="楷体" w:eastAsia="楷体" w:cs="楷体"/>
                <w:b w:val="0"/>
                <w:bCs w:val="0"/>
                <w:kern w:val="2"/>
                <w:sz w:val="18"/>
                <w:szCs w:val="18"/>
                <w:lang w:val="en-US" w:eastAsia="zh-CN" w:bidi="ar-SA"/>
              </w:rPr>
            </w:pPr>
            <w:r>
              <w:rPr>
                <w:rFonts w:hint="eastAsia" w:ascii="楷体" w:hAnsi="楷体" w:eastAsia="楷体" w:cs="楷体"/>
                <w:b w:val="0"/>
                <w:bCs w:val="0"/>
                <w:sz w:val="18"/>
                <w:szCs w:val="18"/>
                <w:lang w:val="en-US" w:eastAsia="zh-CN"/>
              </w:rPr>
              <w:t>2020.4.13</w:t>
            </w:r>
          </w:p>
        </w:tc>
        <w:tc>
          <w:tcPr>
            <w:tcW w:w="2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D19494">
            <w:pPr>
              <w:widowControl/>
              <w:ind w:firstLine="360" w:firstLineChars="200"/>
              <w:jc w:val="both"/>
              <w:rPr>
                <w:rFonts w:hint="eastAsia" w:ascii="楷体" w:hAnsi="楷体" w:eastAsia="楷体" w:cs="楷体"/>
                <w:b w:val="0"/>
                <w:bCs w:val="0"/>
                <w:sz w:val="18"/>
                <w:szCs w:val="18"/>
                <w:lang w:val="en-US" w:eastAsia="zh-CN"/>
              </w:rPr>
            </w:pPr>
          </w:p>
          <w:p w14:paraId="797E45FF">
            <w:pPr>
              <w:widowControl/>
              <w:ind w:firstLine="360" w:firstLineChars="200"/>
              <w:jc w:val="both"/>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江西省高级人民法院</w:t>
            </w:r>
          </w:p>
          <w:p w14:paraId="098AF4CC">
            <w:pPr>
              <w:widowControl/>
              <w:ind w:firstLine="360" w:firstLineChars="200"/>
              <w:jc w:val="both"/>
              <w:rPr>
                <w:rFonts w:hint="eastAsia" w:ascii="楷体" w:hAnsi="楷体" w:eastAsia="楷体" w:cs="楷体"/>
                <w:b w:val="0"/>
                <w:bCs w:val="0"/>
                <w:kern w:val="2"/>
                <w:sz w:val="18"/>
                <w:szCs w:val="18"/>
                <w:lang w:val="en-US" w:eastAsia="zh-CN" w:bidi="ar-SA"/>
              </w:rPr>
            </w:pPr>
          </w:p>
        </w:tc>
        <w:tc>
          <w:tcPr>
            <w:tcW w:w="38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AEC071">
            <w:pPr>
              <w:widowControl/>
              <w:jc w:val="center"/>
              <w:rPr>
                <w:rFonts w:hint="eastAsia" w:ascii="楷体" w:hAnsi="楷体" w:eastAsia="楷体" w:cs="楷体"/>
                <w:b w:val="0"/>
                <w:bCs w:val="0"/>
                <w:kern w:val="2"/>
                <w:sz w:val="18"/>
                <w:szCs w:val="18"/>
                <w:lang w:val="en-US" w:eastAsia="zh-CN" w:bidi="ar-SA"/>
              </w:rPr>
            </w:pPr>
            <w:r>
              <w:rPr>
                <w:rFonts w:hint="eastAsia" w:ascii="楷体" w:hAnsi="楷体" w:eastAsia="楷体" w:cs="楷体"/>
                <w:b w:val="0"/>
                <w:bCs w:val="0"/>
                <w:sz w:val="18"/>
                <w:szCs w:val="18"/>
                <w:lang w:val="en-US" w:eastAsia="zh-CN"/>
              </w:rPr>
              <w:t>《关于建立失信被执行人信用承诺和信用修复机制的实施意见（试行）》</w:t>
            </w:r>
          </w:p>
        </w:tc>
      </w:tr>
      <w:tr w14:paraId="3DFCFBFF">
        <w:tblPrEx>
          <w:tblCellMar>
            <w:top w:w="0" w:type="dxa"/>
            <w:left w:w="108" w:type="dxa"/>
            <w:bottom w:w="0" w:type="dxa"/>
            <w:right w:w="108" w:type="dxa"/>
          </w:tblCellMar>
        </w:tblPrEx>
        <w:trPr>
          <w:trHeight w:val="567" w:hRule="exact"/>
        </w:trPr>
        <w:tc>
          <w:tcPr>
            <w:tcW w:w="763" w:type="dxa"/>
            <w:vMerge w:val="continue"/>
            <w:tcBorders>
              <w:left w:val="single" w:color="auto" w:sz="4" w:space="0"/>
              <w:right w:val="single" w:color="auto" w:sz="4" w:space="0"/>
            </w:tcBorders>
            <w:shd w:val="clear" w:color="auto" w:fill="auto"/>
            <w:noWrap/>
            <w:vAlign w:val="center"/>
          </w:tcPr>
          <w:p w14:paraId="6D206A89">
            <w:pPr>
              <w:widowControl/>
              <w:jc w:val="center"/>
              <w:rPr>
                <w:rFonts w:hint="default" w:ascii="楷体" w:hAnsi="楷体" w:eastAsia="楷体" w:cs="楷体"/>
                <w:b w:val="0"/>
                <w:bCs w:val="0"/>
                <w:sz w:val="18"/>
                <w:szCs w:val="18"/>
                <w:lang w:val="en-US" w:eastAsia="zh-CN"/>
              </w:rPr>
            </w:pPr>
          </w:p>
        </w:tc>
        <w:tc>
          <w:tcPr>
            <w:tcW w:w="10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227EAA">
            <w:pPr>
              <w:widowControl/>
              <w:jc w:val="center"/>
              <w:rPr>
                <w:rFonts w:hint="default" w:ascii="楷体" w:hAnsi="楷体" w:eastAsia="楷体" w:cs="楷体"/>
                <w:b w:val="0"/>
                <w:bCs w:val="0"/>
                <w:kern w:val="2"/>
                <w:sz w:val="18"/>
                <w:szCs w:val="18"/>
                <w:lang w:val="en-US" w:eastAsia="zh-CN" w:bidi="ar-SA"/>
              </w:rPr>
            </w:pPr>
            <w:r>
              <w:rPr>
                <w:rFonts w:hint="eastAsia" w:ascii="楷体" w:hAnsi="楷体" w:eastAsia="楷体" w:cs="楷体"/>
                <w:b w:val="0"/>
                <w:bCs w:val="0"/>
                <w:sz w:val="18"/>
                <w:szCs w:val="18"/>
                <w:lang w:val="en-US" w:eastAsia="zh-CN"/>
              </w:rPr>
              <w:t>2020.6.3</w:t>
            </w:r>
          </w:p>
        </w:tc>
        <w:tc>
          <w:tcPr>
            <w:tcW w:w="2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675B5F">
            <w:pPr>
              <w:widowControl/>
              <w:jc w:val="both"/>
              <w:rPr>
                <w:rFonts w:hint="eastAsia" w:ascii="楷体" w:hAnsi="楷体" w:eastAsia="楷体" w:cs="楷体"/>
                <w:b w:val="0"/>
                <w:bCs w:val="0"/>
                <w:kern w:val="2"/>
                <w:sz w:val="18"/>
                <w:szCs w:val="18"/>
                <w:lang w:val="en-US" w:eastAsia="zh-CN" w:bidi="ar-SA"/>
              </w:rPr>
            </w:pPr>
            <w:r>
              <w:rPr>
                <w:rFonts w:hint="eastAsia" w:ascii="楷体" w:hAnsi="楷体" w:eastAsia="楷体" w:cs="楷体"/>
                <w:b w:val="0"/>
                <w:bCs w:val="0"/>
                <w:sz w:val="18"/>
                <w:szCs w:val="18"/>
                <w:lang w:val="en-US" w:eastAsia="zh-CN"/>
              </w:rPr>
              <w:t>黑龙江省高级人民法院执行局</w:t>
            </w:r>
          </w:p>
        </w:tc>
        <w:tc>
          <w:tcPr>
            <w:tcW w:w="38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04B544">
            <w:pPr>
              <w:widowControl/>
              <w:jc w:val="center"/>
              <w:rPr>
                <w:rFonts w:hint="eastAsia" w:ascii="楷体" w:hAnsi="楷体" w:eastAsia="楷体" w:cs="楷体"/>
                <w:b w:val="0"/>
                <w:bCs w:val="0"/>
                <w:kern w:val="2"/>
                <w:sz w:val="18"/>
                <w:szCs w:val="18"/>
                <w:lang w:val="en-US" w:eastAsia="zh-CN" w:bidi="ar-SA"/>
              </w:rPr>
            </w:pPr>
            <w:r>
              <w:rPr>
                <w:rFonts w:hint="eastAsia" w:ascii="楷体" w:hAnsi="楷体" w:eastAsia="楷体" w:cs="楷体"/>
                <w:b w:val="0"/>
                <w:bCs w:val="0"/>
                <w:sz w:val="18"/>
                <w:szCs w:val="18"/>
                <w:lang w:val="en-US" w:eastAsia="zh-CN"/>
              </w:rPr>
              <w:t>《关于失信被执行人信用修复的实施意见 （试行 ）》</w:t>
            </w:r>
          </w:p>
        </w:tc>
      </w:tr>
      <w:tr w14:paraId="0F6B1140">
        <w:tblPrEx>
          <w:tblCellMar>
            <w:top w:w="0" w:type="dxa"/>
            <w:left w:w="108" w:type="dxa"/>
            <w:bottom w:w="0" w:type="dxa"/>
            <w:right w:w="108" w:type="dxa"/>
          </w:tblCellMar>
        </w:tblPrEx>
        <w:trPr>
          <w:trHeight w:val="567" w:hRule="exact"/>
        </w:trPr>
        <w:tc>
          <w:tcPr>
            <w:tcW w:w="763" w:type="dxa"/>
            <w:vMerge w:val="continue"/>
            <w:tcBorders>
              <w:left w:val="single" w:color="auto" w:sz="4" w:space="0"/>
              <w:bottom w:val="single" w:color="auto" w:sz="4" w:space="0"/>
              <w:right w:val="single" w:color="auto" w:sz="4" w:space="0"/>
            </w:tcBorders>
            <w:shd w:val="clear" w:color="auto" w:fill="auto"/>
            <w:noWrap/>
            <w:vAlign w:val="center"/>
          </w:tcPr>
          <w:p w14:paraId="5B63BC61">
            <w:pPr>
              <w:widowControl/>
              <w:jc w:val="center"/>
              <w:rPr>
                <w:rFonts w:hint="eastAsia" w:ascii="楷体" w:hAnsi="楷体" w:eastAsia="楷体" w:cs="楷体"/>
                <w:b w:val="0"/>
                <w:bCs w:val="0"/>
                <w:sz w:val="18"/>
                <w:szCs w:val="18"/>
                <w:lang w:val="en-US" w:eastAsia="zh-CN"/>
              </w:rPr>
            </w:pPr>
          </w:p>
        </w:tc>
        <w:tc>
          <w:tcPr>
            <w:tcW w:w="10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792F19">
            <w:pPr>
              <w:widowControl/>
              <w:jc w:val="center"/>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2020.7.14</w:t>
            </w:r>
          </w:p>
        </w:tc>
        <w:tc>
          <w:tcPr>
            <w:tcW w:w="2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FF83C3">
            <w:pPr>
              <w:widowControl/>
              <w:jc w:val="center"/>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宁夏回族自治区高级人民法院</w:t>
            </w:r>
          </w:p>
        </w:tc>
        <w:tc>
          <w:tcPr>
            <w:tcW w:w="38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14FC30">
            <w:pPr>
              <w:widowControl/>
              <w:jc w:val="center"/>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《关于建立失信被执行人信用承诺和信 用修复机制从源头切实解决执行难问题的暂行规定》</w:t>
            </w:r>
          </w:p>
        </w:tc>
      </w:tr>
      <w:tr w14:paraId="0F2AD1F1">
        <w:tblPrEx>
          <w:tblCellMar>
            <w:top w:w="0" w:type="dxa"/>
            <w:left w:w="108" w:type="dxa"/>
            <w:bottom w:w="0" w:type="dxa"/>
            <w:right w:w="108" w:type="dxa"/>
          </w:tblCellMar>
        </w:tblPrEx>
        <w:trPr>
          <w:trHeight w:val="567" w:hRule="exact"/>
        </w:trPr>
        <w:tc>
          <w:tcPr>
            <w:tcW w:w="76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F5153A3">
            <w:pPr>
              <w:widowControl/>
              <w:jc w:val="center"/>
              <w:rPr>
                <w:rFonts w:hint="eastAsia" w:ascii="楷体" w:hAnsi="楷体" w:eastAsia="楷体" w:cs="楷体"/>
                <w:b w:val="0"/>
                <w:bCs w:val="0"/>
                <w:sz w:val="18"/>
                <w:szCs w:val="18"/>
                <w:lang w:val="en-US" w:eastAsia="zh-CN"/>
              </w:rPr>
            </w:pPr>
          </w:p>
        </w:tc>
        <w:tc>
          <w:tcPr>
            <w:tcW w:w="10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B50F3A">
            <w:pPr>
              <w:widowControl/>
              <w:jc w:val="center"/>
              <w:rPr>
                <w:rFonts w:hint="eastAsia" w:ascii="楷体" w:hAnsi="楷体" w:eastAsia="楷体" w:cs="楷体"/>
                <w:b w:val="0"/>
                <w:bCs w:val="0"/>
                <w:kern w:val="2"/>
                <w:sz w:val="18"/>
                <w:szCs w:val="18"/>
                <w:lang w:val="en-US" w:eastAsia="zh-CN" w:bidi="ar-SA"/>
              </w:rPr>
            </w:pPr>
            <w:r>
              <w:rPr>
                <w:rFonts w:hint="eastAsia" w:ascii="楷体" w:hAnsi="楷体" w:eastAsia="楷体" w:cs="楷体"/>
                <w:b w:val="0"/>
                <w:bCs w:val="0"/>
                <w:sz w:val="18"/>
                <w:szCs w:val="18"/>
                <w:lang w:val="en-US" w:eastAsia="zh-CN"/>
              </w:rPr>
              <w:t>2021.12.22</w:t>
            </w:r>
          </w:p>
        </w:tc>
        <w:tc>
          <w:tcPr>
            <w:tcW w:w="2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8FFA7A">
            <w:pPr>
              <w:widowControl/>
              <w:ind w:firstLine="540" w:firstLineChars="300"/>
              <w:jc w:val="both"/>
              <w:rPr>
                <w:rFonts w:hint="eastAsia" w:ascii="楷体" w:hAnsi="楷体" w:eastAsia="楷体" w:cs="楷体"/>
                <w:b w:val="0"/>
                <w:bCs w:val="0"/>
                <w:kern w:val="2"/>
                <w:sz w:val="18"/>
                <w:szCs w:val="18"/>
                <w:lang w:val="en-US" w:eastAsia="zh-CN" w:bidi="ar-SA"/>
              </w:rPr>
            </w:pPr>
            <w:r>
              <w:rPr>
                <w:rFonts w:hint="eastAsia" w:ascii="楷体" w:hAnsi="楷体" w:eastAsia="楷体" w:cs="楷体"/>
                <w:b w:val="0"/>
                <w:bCs w:val="0"/>
                <w:sz w:val="18"/>
                <w:szCs w:val="18"/>
                <w:lang w:val="en-US" w:eastAsia="zh-CN"/>
              </w:rPr>
              <w:t>湖南省高级人民法院</w:t>
            </w:r>
          </w:p>
        </w:tc>
        <w:tc>
          <w:tcPr>
            <w:tcW w:w="38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80082A">
            <w:pPr>
              <w:widowControl/>
              <w:jc w:val="both"/>
              <w:rPr>
                <w:rFonts w:hint="eastAsia" w:ascii="楷体" w:hAnsi="楷体" w:eastAsia="楷体" w:cs="楷体"/>
                <w:b w:val="0"/>
                <w:bCs w:val="0"/>
                <w:kern w:val="2"/>
                <w:sz w:val="18"/>
                <w:szCs w:val="18"/>
                <w:lang w:val="en-US" w:eastAsia="zh-CN" w:bidi="ar-SA"/>
              </w:rPr>
            </w:pPr>
            <w:r>
              <w:rPr>
                <w:rFonts w:hint="eastAsia" w:ascii="楷体" w:hAnsi="楷体" w:eastAsia="楷体" w:cs="楷体"/>
                <w:b w:val="0"/>
                <w:bCs w:val="0"/>
                <w:sz w:val="18"/>
                <w:szCs w:val="18"/>
                <w:lang w:val="en-US" w:eastAsia="zh-CN"/>
              </w:rPr>
              <w:t>《关于建立失信被执行人信用承诺和信用修复机制的实施办法（试行）》</w:t>
            </w:r>
          </w:p>
        </w:tc>
      </w:tr>
      <w:tr w14:paraId="0B48EEAA">
        <w:tblPrEx>
          <w:tblCellMar>
            <w:top w:w="0" w:type="dxa"/>
            <w:left w:w="108" w:type="dxa"/>
            <w:bottom w:w="0" w:type="dxa"/>
            <w:right w:w="108" w:type="dxa"/>
          </w:tblCellMar>
        </w:tblPrEx>
        <w:trPr>
          <w:trHeight w:val="567" w:hRule="exact"/>
        </w:trPr>
        <w:tc>
          <w:tcPr>
            <w:tcW w:w="76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FC272E2">
            <w:pPr>
              <w:widowControl/>
              <w:jc w:val="center"/>
              <w:rPr>
                <w:rFonts w:hint="default"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市级</w:t>
            </w:r>
          </w:p>
        </w:tc>
        <w:tc>
          <w:tcPr>
            <w:tcW w:w="10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703EA2">
            <w:pPr>
              <w:widowControl/>
              <w:jc w:val="center"/>
              <w:rPr>
                <w:rFonts w:hint="eastAsia" w:ascii="楷体" w:hAnsi="楷体" w:eastAsia="楷体" w:cs="楷体"/>
                <w:b w:val="0"/>
                <w:bCs w:val="0"/>
                <w:kern w:val="2"/>
                <w:sz w:val="18"/>
                <w:szCs w:val="18"/>
                <w:lang w:val="en-US" w:eastAsia="zh-CN" w:bidi="ar-SA"/>
              </w:rPr>
            </w:pPr>
            <w:r>
              <w:rPr>
                <w:rFonts w:hint="eastAsia" w:ascii="楷体" w:hAnsi="楷体" w:eastAsia="楷体" w:cs="楷体"/>
                <w:b w:val="0"/>
                <w:bCs w:val="0"/>
                <w:sz w:val="18"/>
                <w:szCs w:val="18"/>
                <w:lang w:val="en-US" w:eastAsia="zh-CN"/>
              </w:rPr>
              <w:t xml:space="preserve">2019.9.12 </w:t>
            </w:r>
          </w:p>
        </w:tc>
        <w:tc>
          <w:tcPr>
            <w:tcW w:w="2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7E1D59">
            <w:pPr>
              <w:widowControl/>
              <w:jc w:val="center"/>
              <w:rPr>
                <w:rFonts w:hint="eastAsia" w:ascii="楷体" w:hAnsi="楷体" w:eastAsia="楷体" w:cs="楷体"/>
                <w:b w:val="0"/>
                <w:bCs w:val="0"/>
                <w:kern w:val="2"/>
                <w:sz w:val="18"/>
                <w:szCs w:val="18"/>
                <w:lang w:val="en-US" w:eastAsia="zh-CN" w:bidi="ar-SA"/>
              </w:rPr>
            </w:pPr>
            <w:r>
              <w:rPr>
                <w:rFonts w:hint="eastAsia" w:ascii="楷体" w:hAnsi="楷体" w:eastAsia="楷体" w:cs="楷体"/>
                <w:b w:val="0"/>
                <w:bCs w:val="0"/>
                <w:sz w:val="18"/>
                <w:szCs w:val="18"/>
                <w:lang w:val="en-US" w:eastAsia="zh-CN"/>
              </w:rPr>
              <w:t>宁波市中级人民法院</w:t>
            </w:r>
          </w:p>
        </w:tc>
        <w:tc>
          <w:tcPr>
            <w:tcW w:w="38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F9336F">
            <w:pPr>
              <w:widowControl/>
              <w:jc w:val="center"/>
              <w:rPr>
                <w:rFonts w:hint="eastAsia" w:ascii="楷体" w:hAnsi="楷体" w:eastAsia="楷体" w:cs="楷体"/>
                <w:b w:val="0"/>
                <w:bCs w:val="0"/>
                <w:kern w:val="2"/>
                <w:sz w:val="18"/>
                <w:szCs w:val="18"/>
                <w:lang w:val="en-US" w:eastAsia="zh-CN" w:bidi="ar-SA"/>
              </w:rPr>
            </w:pPr>
            <w:r>
              <w:rPr>
                <w:rFonts w:hint="eastAsia" w:ascii="楷体" w:hAnsi="楷体" w:eastAsia="楷体" w:cs="楷体"/>
                <w:b w:val="0"/>
                <w:bCs w:val="0"/>
                <w:sz w:val="18"/>
                <w:szCs w:val="18"/>
                <w:lang w:val="en-US" w:eastAsia="zh-CN"/>
              </w:rPr>
              <w:t>《关于在全市法院全面推行失信被执行人信用修复激励机制破解执行难问题的实施方案》</w:t>
            </w:r>
          </w:p>
        </w:tc>
      </w:tr>
      <w:tr w14:paraId="1776CE21">
        <w:tblPrEx>
          <w:tblCellMar>
            <w:top w:w="0" w:type="dxa"/>
            <w:left w:w="108" w:type="dxa"/>
            <w:bottom w:w="0" w:type="dxa"/>
            <w:right w:w="108" w:type="dxa"/>
          </w:tblCellMar>
        </w:tblPrEx>
        <w:trPr>
          <w:trHeight w:val="567" w:hRule="exact"/>
        </w:trPr>
        <w:tc>
          <w:tcPr>
            <w:tcW w:w="76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A30CB7A">
            <w:pPr>
              <w:widowControl/>
              <w:jc w:val="center"/>
              <w:rPr>
                <w:rFonts w:hint="eastAsia" w:ascii="楷体" w:hAnsi="楷体" w:eastAsia="楷体" w:cs="楷体"/>
                <w:b w:val="0"/>
                <w:bCs w:val="0"/>
                <w:sz w:val="18"/>
                <w:szCs w:val="18"/>
                <w:lang w:val="en-US" w:eastAsia="zh-CN"/>
              </w:rPr>
            </w:pPr>
          </w:p>
        </w:tc>
        <w:tc>
          <w:tcPr>
            <w:tcW w:w="10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6BFBA4">
            <w:pPr>
              <w:widowControl/>
              <w:jc w:val="center"/>
              <w:rPr>
                <w:rFonts w:hint="default" w:ascii="楷体" w:hAnsi="楷体" w:eastAsia="楷体" w:cs="楷体"/>
                <w:b w:val="0"/>
                <w:bCs w:val="0"/>
                <w:kern w:val="2"/>
                <w:sz w:val="18"/>
                <w:szCs w:val="18"/>
                <w:lang w:val="en-US" w:eastAsia="zh-CN" w:bidi="ar-SA"/>
              </w:rPr>
            </w:pPr>
            <w:r>
              <w:rPr>
                <w:rFonts w:hint="eastAsia" w:ascii="楷体" w:hAnsi="楷体" w:eastAsia="楷体" w:cs="楷体"/>
                <w:b w:val="0"/>
                <w:bCs w:val="0"/>
                <w:sz w:val="18"/>
                <w:szCs w:val="18"/>
                <w:lang w:val="en-US" w:eastAsia="zh-CN"/>
              </w:rPr>
              <w:t>2020.5.15</w:t>
            </w:r>
          </w:p>
        </w:tc>
        <w:tc>
          <w:tcPr>
            <w:tcW w:w="2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1BEFDE">
            <w:pPr>
              <w:widowControl/>
              <w:ind w:firstLine="360" w:firstLineChars="200"/>
              <w:jc w:val="both"/>
              <w:rPr>
                <w:rFonts w:hint="eastAsia" w:ascii="楷体" w:hAnsi="楷体" w:eastAsia="楷体" w:cs="楷体"/>
                <w:b w:val="0"/>
                <w:bCs w:val="0"/>
                <w:kern w:val="2"/>
                <w:sz w:val="18"/>
                <w:szCs w:val="18"/>
                <w:lang w:val="en-US" w:eastAsia="zh-CN" w:bidi="ar-SA"/>
              </w:rPr>
            </w:pPr>
            <w:r>
              <w:rPr>
                <w:rFonts w:hint="eastAsia" w:ascii="楷体" w:hAnsi="楷体" w:eastAsia="楷体" w:cs="楷体"/>
                <w:b w:val="0"/>
                <w:bCs w:val="0"/>
                <w:sz w:val="18"/>
                <w:szCs w:val="18"/>
                <w:lang w:val="en-US" w:eastAsia="zh-CN"/>
              </w:rPr>
              <w:t>三明市中级人民法院</w:t>
            </w:r>
          </w:p>
        </w:tc>
        <w:tc>
          <w:tcPr>
            <w:tcW w:w="38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307FE7">
            <w:pPr>
              <w:widowControl/>
              <w:jc w:val="center"/>
              <w:rPr>
                <w:rFonts w:hint="eastAsia" w:ascii="楷体" w:hAnsi="楷体" w:eastAsia="楷体" w:cs="楷体"/>
                <w:b w:val="0"/>
                <w:bCs w:val="0"/>
                <w:kern w:val="2"/>
                <w:sz w:val="18"/>
                <w:szCs w:val="18"/>
                <w:lang w:val="en-US" w:eastAsia="zh-CN" w:bidi="ar-SA"/>
              </w:rPr>
            </w:pPr>
            <w:r>
              <w:rPr>
                <w:rFonts w:hint="eastAsia" w:ascii="楷体" w:hAnsi="楷体" w:eastAsia="楷体" w:cs="楷体"/>
                <w:b w:val="0"/>
                <w:bCs w:val="0"/>
                <w:sz w:val="18"/>
                <w:szCs w:val="18"/>
                <w:lang w:val="en-US" w:eastAsia="zh-CN"/>
              </w:rPr>
              <w:t>《关于构建失信被执行人信用修复机制的实施意见（试行）》</w:t>
            </w:r>
          </w:p>
        </w:tc>
      </w:tr>
      <w:tr w14:paraId="3C23AE04">
        <w:tblPrEx>
          <w:tblCellMar>
            <w:top w:w="0" w:type="dxa"/>
            <w:left w:w="108" w:type="dxa"/>
            <w:bottom w:w="0" w:type="dxa"/>
            <w:right w:w="108" w:type="dxa"/>
          </w:tblCellMar>
        </w:tblPrEx>
        <w:trPr>
          <w:trHeight w:val="567" w:hRule="exact"/>
        </w:trPr>
        <w:tc>
          <w:tcPr>
            <w:tcW w:w="76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E3F7D78">
            <w:pPr>
              <w:widowControl/>
              <w:jc w:val="center"/>
              <w:rPr>
                <w:rFonts w:hint="eastAsia" w:ascii="楷体" w:hAnsi="楷体" w:eastAsia="楷体" w:cs="楷体"/>
                <w:b w:val="0"/>
                <w:bCs w:val="0"/>
                <w:sz w:val="18"/>
                <w:szCs w:val="18"/>
                <w:lang w:val="en-US" w:eastAsia="zh-CN"/>
              </w:rPr>
            </w:pPr>
          </w:p>
        </w:tc>
        <w:tc>
          <w:tcPr>
            <w:tcW w:w="10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F95C3E">
            <w:pPr>
              <w:widowControl/>
              <w:jc w:val="center"/>
              <w:rPr>
                <w:rFonts w:hint="default" w:ascii="楷体" w:hAnsi="楷体" w:eastAsia="楷体" w:cs="楷体"/>
                <w:b w:val="0"/>
                <w:bCs w:val="0"/>
                <w:kern w:val="2"/>
                <w:sz w:val="18"/>
                <w:szCs w:val="18"/>
                <w:lang w:val="en-US" w:eastAsia="zh-CN" w:bidi="ar-SA"/>
              </w:rPr>
            </w:pPr>
            <w:r>
              <w:rPr>
                <w:rFonts w:hint="eastAsia" w:ascii="楷体" w:hAnsi="楷体" w:eastAsia="楷体" w:cs="楷体"/>
                <w:b w:val="0"/>
                <w:bCs w:val="0"/>
                <w:sz w:val="18"/>
                <w:szCs w:val="18"/>
                <w:lang w:val="en-US" w:eastAsia="zh-CN"/>
              </w:rPr>
              <w:t>2022.6.24</w:t>
            </w:r>
          </w:p>
        </w:tc>
        <w:tc>
          <w:tcPr>
            <w:tcW w:w="2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EDC183">
            <w:pPr>
              <w:widowControl/>
              <w:ind w:firstLine="360" w:firstLineChars="200"/>
              <w:jc w:val="both"/>
              <w:rPr>
                <w:rFonts w:hint="eastAsia" w:ascii="楷体" w:hAnsi="楷体" w:eastAsia="楷体" w:cs="楷体"/>
                <w:b w:val="0"/>
                <w:bCs w:val="0"/>
                <w:kern w:val="2"/>
                <w:sz w:val="18"/>
                <w:szCs w:val="18"/>
                <w:lang w:val="en-US" w:eastAsia="zh-CN" w:bidi="ar-SA"/>
              </w:rPr>
            </w:pPr>
            <w:r>
              <w:rPr>
                <w:rFonts w:hint="eastAsia" w:ascii="楷体" w:hAnsi="楷体" w:eastAsia="楷体" w:cs="楷体"/>
                <w:b w:val="0"/>
                <w:bCs w:val="0"/>
                <w:sz w:val="18"/>
                <w:szCs w:val="18"/>
                <w:lang w:val="en-US" w:eastAsia="zh-CN"/>
              </w:rPr>
              <w:t>黄山市中级人民法院</w:t>
            </w:r>
          </w:p>
        </w:tc>
        <w:tc>
          <w:tcPr>
            <w:tcW w:w="38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F94BE1">
            <w:pPr>
              <w:widowControl/>
              <w:jc w:val="both"/>
              <w:rPr>
                <w:rFonts w:hint="eastAsia" w:ascii="楷体" w:hAnsi="楷体" w:eastAsia="楷体" w:cs="楷体"/>
                <w:b w:val="0"/>
                <w:bCs w:val="0"/>
                <w:kern w:val="2"/>
                <w:sz w:val="18"/>
                <w:szCs w:val="18"/>
                <w:lang w:val="en-US" w:eastAsia="zh-CN" w:bidi="ar-SA"/>
              </w:rPr>
            </w:pPr>
            <w:r>
              <w:rPr>
                <w:rFonts w:hint="eastAsia" w:ascii="楷体" w:hAnsi="楷体" w:eastAsia="楷体" w:cs="楷体"/>
                <w:b w:val="0"/>
                <w:bCs w:val="0"/>
                <w:sz w:val="18"/>
                <w:szCs w:val="18"/>
                <w:lang w:val="en-US" w:eastAsia="zh-CN"/>
              </w:rPr>
              <w:t>《关于企业信用修复有关事项的公告》</w:t>
            </w:r>
          </w:p>
        </w:tc>
      </w:tr>
      <w:tr w14:paraId="0619F131">
        <w:tblPrEx>
          <w:tblCellMar>
            <w:top w:w="0" w:type="dxa"/>
            <w:left w:w="108" w:type="dxa"/>
            <w:bottom w:w="0" w:type="dxa"/>
            <w:right w:w="108" w:type="dxa"/>
          </w:tblCellMar>
        </w:tblPrEx>
        <w:trPr>
          <w:trHeight w:val="567" w:hRule="exact"/>
        </w:trPr>
        <w:tc>
          <w:tcPr>
            <w:tcW w:w="76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F48CB8C">
            <w:pPr>
              <w:widowControl/>
              <w:jc w:val="center"/>
              <w:rPr>
                <w:rFonts w:hint="eastAsia" w:ascii="楷体" w:hAnsi="楷体" w:eastAsia="楷体" w:cs="楷体"/>
                <w:b w:val="0"/>
                <w:bCs w:val="0"/>
                <w:sz w:val="18"/>
                <w:szCs w:val="18"/>
                <w:lang w:val="en-US" w:eastAsia="zh-CN"/>
              </w:rPr>
            </w:pPr>
          </w:p>
        </w:tc>
        <w:tc>
          <w:tcPr>
            <w:tcW w:w="10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EF5755">
            <w:pPr>
              <w:widowControl/>
              <w:jc w:val="center"/>
              <w:rPr>
                <w:rFonts w:hint="default"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2023.4.28</w:t>
            </w:r>
          </w:p>
        </w:tc>
        <w:tc>
          <w:tcPr>
            <w:tcW w:w="2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D0ADED">
            <w:pPr>
              <w:widowControl/>
              <w:ind w:firstLine="360" w:firstLineChars="200"/>
              <w:jc w:val="both"/>
              <w:rPr>
                <w:rFonts w:hint="default"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北海市中级人民法院</w:t>
            </w:r>
          </w:p>
        </w:tc>
        <w:tc>
          <w:tcPr>
            <w:tcW w:w="38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E22F87">
            <w:pPr>
              <w:widowControl/>
              <w:jc w:val="both"/>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《关于企业信用修复有关事项的公告》</w:t>
            </w:r>
          </w:p>
        </w:tc>
      </w:tr>
      <w:tr w14:paraId="122132B4">
        <w:tblPrEx>
          <w:tblCellMar>
            <w:top w:w="0" w:type="dxa"/>
            <w:left w:w="108" w:type="dxa"/>
            <w:bottom w:w="0" w:type="dxa"/>
            <w:right w:w="108" w:type="dxa"/>
          </w:tblCellMar>
        </w:tblPrEx>
        <w:trPr>
          <w:trHeight w:val="567" w:hRule="exact"/>
        </w:trPr>
        <w:tc>
          <w:tcPr>
            <w:tcW w:w="76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5EA723B">
            <w:pPr>
              <w:widowControl/>
              <w:jc w:val="center"/>
              <w:rPr>
                <w:rFonts w:hint="eastAsia" w:ascii="楷体" w:hAnsi="楷体" w:eastAsia="楷体" w:cs="楷体"/>
                <w:b w:val="0"/>
                <w:bCs w:val="0"/>
                <w:sz w:val="18"/>
                <w:szCs w:val="18"/>
                <w:lang w:val="en-US" w:eastAsia="zh-CN"/>
              </w:rPr>
            </w:pPr>
          </w:p>
        </w:tc>
        <w:tc>
          <w:tcPr>
            <w:tcW w:w="10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9A63AB">
            <w:pPr>
              <w:widowControl/>
              <w:jc w:val="center"/>
              <w:rPr>
                <w:rFonts w:hint="default" w:ascii="楷体" w:hAnsi="楷体" w:eastAsia="楷体" w:cs="楷体"/>
                <w:b w:val="0"/>
                <w:bCs w:val="0"/>
                <w:kern w:val="2"/>
                <w:sz w:val="18"/>
                <w:szCs w:val="18"/>
                <w:lang w:val="en-US" w:eastAsia="zh-CN" w:bidi="ar-SA"/>
              </w:rPr>
            </w:pPr>
            <w:r>
              <w:rPr>
                <w:rFonts w:hint="eastAsia" w:ascii="楷体" w:hAnsi="楷体" w:eastAsia="楷体" w:cs="楷体"/>
                <w:b w:val="0"/>
                <w:bCs w:val="0"/>
                <w:sz w:val="18"/>
                <w:szCs w:val="18"/>
                <w:lang w:val="en-US" w:eastAsia="zh-CN"/>
              </w:rPr>
              <w:t>2020.3.31</w:t>
            </w:r>
          </w:p>
        </w:tc>
        <w:tc>
          <w:tcPr>
            <w:tcW w:w="2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F6E051">
            <w:pPr>
              <w:widowControl/>
              <w:ind w:firstLine="360" w:firstLineChars="200"/>
              <w:jc w:val="both"/>
              <w:rPr>
                <w:rFonts w:hint="eastAsia" w:ascii="楷体" w:hAnsi="楷体" w:eastAsia="楷体" w:cs="楷体"/>
                <w:b w:val="0"/>
                <w:bCs w:val="0"/>
                <w:kern w:val="2"/>
                <w:sz w:val="18"/>
                <w:szCs w:val="18"/>
                <w:lang w:val="en-US" w:eastAsia="zh-CN" w:bidi="ar-SA"/>
              </w:rPr>
            </w:pPr>
            <w:r>
              <w:rPr>
                <w:rFonts w:hint="eastAsia" w:ascii="楷体" w:hAnsi="楷体" w:eastAsia="楷体" w:cs="楷体"/>
                <w:b w:val="0"/>
                <w:bCs w:val="0"/>
                <w:sz w:val="18"/>
                <w:szCs w:val="18"/>
                <w:lang w:val="en-US" w:eastAsia="zh-CN"/>
              </w:rPr>
              <w:t>杭州市中级人民法院</w:t>
            </w:r>
          </w:p>
        </w:tc>
        <w:tc>
          <w:tcPr>
            <w:tcW w:w="38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DFFEE1">
            <w:pPr>
              <w:widowControl/>
              <w:jc w:val="center"/>
              <w:rPr>
                <w:rFonts w:hint="eastAsia" w:ascii="楷体" w:hAnsi="楷体" w:eastAsia="楷体" w:cs="楷体"/>
                <w:b w:val="0"/>
                <w:bCs w:val="0"/>
                <w:kern w:val="2"/>
                <w:sz w:val="18"/>
                <w:szCs w:val="18"/>
                <w:lang w:val="en-US" w:eastAsia="zh-CN" w:bidi="ar-SA"/>
              </w:rPr>
            </w:pPr>
            <w:r>
              <w:rPr>
                <w:rFonts w:hint="eastAsia" w:ascii="楷体" w:hAnsi="楷体" w:eastAsia="楷体" w:cs="楷体"/>
                <w:b w:val="0"/>
                <w:bCs w:val="0"/>
                <w:sz w:val="18"/>
                <w:szCs w:val="18"/>
                <w:lang w:val="en-US" w:eastAsia="zh-CN"/>
              </w:rPr>
              <w:t>《关于失信被执行人信用修复的实施细则 （试行）》</w:t>
            </w:r>
          </w:p>
        </w:tc>
      </w:tr>
      <w:tr w14:paraId="20EEB146">
        <w:tblPrEx>
          <w:tblCellMar>
            <w:top w:w="0" w:type="dxa"/>
            <w:left w:w="108" w:type="dxa"/>
            <w:bottom w:w="0" w:type="dxa"/>
            <w:right w:w="108" w:type="dxa"/>
          </w:tblCellMar>
        </w:tblPrEx>
        <w:trPr>
          <w:trHeight w:val="567" w:hRule="exact"/>
        </w:trPr>
        <w:tc>
          <w:tcPr>
            <w:tcW w:w="76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B2D792B">
            <w:pPr>
              <w:widowControl/>
              <w:jc w:val="center"/>
              <w:rPr>
                <w:rFonts w:hint="eastAsia" w:ascii="楷体" w:hAnsi="楷体" w:eastAsia="楷体" w:cs="楷体"/>
                <w:b w:val="0"/>
                <w:bCs w:val="0"/>
                <w:sz w:val="18"/>
                <w:szCs w:val="18"/>
                <w:lang w:val="en-US" w:eastAsia="zh-CN"/>
              </w:rPr>
            </w:pPr>
          </w:p>
        </w:tc>
        <w:tc>
          <w:tcPr>
            <w:tcW w:w="10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5DFDB2">
            <w:pPr>
              <w:widowControl/>
              <w:jc w:val="center"/>
              <w:rPr>
                <w:rFonts w:hint="default"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2023.5.4</w:t>
            </w:r>
          </w:p>
        </w:tc>
        <w:tc>
          <w:tcPr>
            <w:tcW w:w="2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50EB12">
            <w:pPr>
              <w:widowControl/>
              <w:ind w:firstLine="360" w:firstLineChars="200"/>
              <w:jc w:val="both"/>
              <w:rPr>
                <w:rFonts w:hint="default"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哈尔滨市中级人民法院</w:t>
            </w:r>
          </w:p>
        </w:tc>
        <w:tc>
          <w:tcPr>
            <w:tcW w:w="38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ECB6D5">
            <w:pPr>
              <w:widowControl/>
              <w:jc w:val="center"/>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《失信被执行人信用修复实施办法（试行）》</w:t>
            </w:r>
          </w:p>
        </w:tc>
      </w:tr>
      <w:tr w14:paraId="416A6C76">
        <w:tblPrEx>
          <w:tblCellMar>
            <w:top w:w="0" w:type="dxa"/>
            <w:left w:w="108" w:type="dxa"/>
            <w:bottom w:w="0" w:type="dxa"/>
            <w:right w:w="108" w:type="dxa"/>
          </w:tblCellMar>
        </w:tblPrEx>
        <w:trPr>
          <w:trHeight w:val="567" w:hRule="exact"/>
        </w:trPr>
        <w:tc>
          <w:tcPr>
            <w:tcW w:w="76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1EF3C56">
            <w:pPr>
              <w:widowControl/>
              <w:jc w:val="center"/>
              <w:rPr>
                <w:rFonts w:hint="eastAsia" w:ascii="楷体" w:hAnsi="楷体" w:eastAsia="楷体" w:cs="楷体"/>
                <w:b w:val="0"/>
                <w:bCs w:val="0"/>
                <w:sz w:val="18"/>
                <w:szCs w:val="18"/>
                <w:lang w:val="en-US" w:eastAsia="zh-CN"/>
              </w:rPr>
            </w:pPr>
          </w:p>
        </w:tc>
        <w:tc>
          <w:tcPr>
            <w:tcW w:w="10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2B3DB2">
            <w:pPr>
              <w:widowControl/>
              <w:jc w:val="center"/>
              <w:rPr>
                <w:rFonts w:hint="default"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2025.4.16</w:t>
            </w:r>
          </w:p>
        </w:tc>
        <w:tc>
          <w:tcPr>
            <w:tcW w:w="2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2850D3">
            <w:pPr>
              <w:widowControl/>
              <w:ind w:firstLine="360" w:firstLineChars="200"/>
              <w:jc w:val="both"/>
              <w:rPr>
                <w:rFonts w:hint="default"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洛阳市中级人民法院</w:t>
            </w:r>
          </w:p>
        </w:tc>
        <w:tc>
          <w:tcPr>
            <w:tcW w:w="38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4BC113">
            <w:pPr>
              <w:widowControl/>
              <w:jc w:val="center"/>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《关于发布失信被执行人信用修复的实施细则（试行）》</w:t>
            </w:r>
          </w:p>
        </w:tc>
      </w:tr>
      <w:tr w14:paraId="11D4B923">
        <w:tblPrEx>
          <w:tblCellMar>
            <w:top w:w="0" w:type="dxa"/>
            <w:left w:w="108" w:type="dxa"/>
            <w:bottom w:w="0" w:type="dxa"/>
            <w:right w:w="108" w:type="dxa"/>
          </w:tblCellMar>
        </w:tblPrEx>
        <w:trPr>
          <w:trHeight w:val="567" w:hRule="exact"/>
        </w:trPr>
        <w:tc>
          <w:tcPr>
            <w:tcW w:w="76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0751267">
            <w:pPr>
              <w:widowControl/>
              <w:jc w:val="center"/>
              <w:rPr>
                <w:rFonts w:hint="default" w:ascii="楷体" w:hAnsi="楷体" w:eastAsia="楷体" w:cs="楷体"/>
                <w:b w:val="0"/>
                <w:bCs w:val="0"/>
                <w:sz w:val="18"/>
                <w:szCs w:val="18"/>
                <w:lang w:val="en-US" w:eastAsia="zh-CN"/>
              </w:rPr>
            </w:pPr>
          </w:p>
        </w:tc>
        <w:tc>
          <w:tcPr>
            <w:tcW w:w="10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2EB166">
            <w:pPr>
              <w:widowControl/>
              <w:jc w:val="center"/>
              <w:rPr>
                <w:rFonts w:hint="default"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2023.3.15</w:t>
            </w:r>
          </w:p>
        </w:tc>
        <w:tc>
          <w:tcPr>
            <w:tcW w:w="2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DBAFE7">
            <w:pPr>
              <w:widowControl/>
              <w:jc w:val="center"/>
              <w:rPr>
                <w:rFonts w:hint="default"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江山市人民法院</w:t>
            </w:r>
          </w:p>
        </w:tc>
        <w:tc>
          <w:tcPr>
            <w:tcW w:w="38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EB24E1">
            <w:pPr>
              <w:widowControl/>
              <w:jc w:val="center"/>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《关于信用修复有关事项的公告》</w:t>
            </w:r>
          </w:p>
          <w:p w14:paraId="18B13249">
            <w:pPr>
              <w:widowControl/>
              <w:jc w:val="center"/>
              <w:rPr>
                <w:rFonts w:hint="eastAsia" w:ascii="楷体" w:hAnsi="楷体" w:eastAsia="楷体" w:cs="楷体"/>
                <w:b w:val="0"/>
                <w:bCs w:val="0"/>
                <w:sz w:val="18"/>
                <w:szCs w:val="18"/>
                <w:lang w:val="en-US" w:eastAsia="zh-CN"/>
              </w:rPr>
            </w:pPr>
          </w:p>
        </w:tc>
      </w:tr>
      <w:tr w14:paraId="52609A39">
        <w:tblPrEx>
          <w:tblCellMar>
            <w:top w:w="0" w:type="dxa"/>
            <w:left w:w="108" w:type="dxa"/>
            <w:bottom w:w="0" w:type="dxa"/>
            <w:right w:w="108" w:type="dxa"/>
          </w:tblCellMar>
        </w:tblPrEx>
        <w:trPr>
          <w:trHeight w:val="567" w:hRule="exact"/>
        </w:trPr>
        <w:tc>
          <w:tcPr>
            <w:tcW w:w="763" w:type="dxa"/>
            <w:vMerge w:val="restart"/>
            <w:tcBorders>
              <w:top w:val="single" w:color="auto" w:sz="4" w:space="0"/>
              <w:left w:val="single" w:color="auto" w:sz="4" w:space="0"/>
              <w:right w:val="single" w:color="auto" w:sz="4" w:space="0"/>
            </w:tcBorders>
            <w:shd w:val="clear" w:color="auto" w:fill="auto"/>
            <w:noWrap/>
            <w:vAlign w:val="center"/>
          </w:tcPr>
          <w:p w14:paraId="2655E421">
            <w:pPr>
              <w:widowControl/>
              <w:jc w:val="center"/>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县/区级</w:t>
            </w:r>
          </w:p>
        </w:tc>
        <w:tc>
          <w:tcPr>
            <w:tcW w:w="10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D5131D">
            <w:pPr>
              <w:widowControl/>
              <w:jc w:val="center"/>
              <w:rPr>
                <w:rFonts w:hint="default"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2021.1.25</w:t>
            </w:r>
          </w:p>
        </w:tc>
        <w:tc>
          <w:tcPr>
            <w:tcW w:w="2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07D262">
            <w:pPr>
              <w:widowControl/>
              <w:ind w:firstLine="360" w:firstLineChars="200"/>
              <w:jc w:val="both"/>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信阳市浉河区人民法院</w:t>
            </w:r>
          </w:p>
        </w:tc>
        <w:tc>
          <w:tcPr>
            <w:tcW w:w="38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2B83D7">
            <w:pPr>
              <w:widowControl/>
              <w:ind w:firstLine="180" w:firstLineChars="100"/>
              <w:jc w:val="both"/>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《关于公布失信被执行人名单信息工作实施细则》</w:t>
            </w:r>
          </w:p>
        </w:tc>
      </w:tr>
      <w:tr w14:paraId="085E53B7">
        <w:tblPrEx>
          <w:tblCellMar>
            <w:top w:w="0" w:type="dxa"/>
            <w:left w:w="108" w:type="dxa"/>
            <w:bottom w:w="0" w:type="dxa"/>
            <w:right w:w="108" w:type="dxa"/>
          </w:tblCellMar>
        </w:tblPrEx>
        <w:trPr>
          <w:trHeight w:val="567" w:hRule="exact"/>
        </w:trPr>
        <w:tc>
          <w:tcPr>
            <w:tcW w:w="763" w:type="dxa"/>
            <w:vMerge w:val="continue"/>
            <w:tcBorders>
              <w:left w:val="single" w:color="auto" w:sz="4" w:space="0"/>
              <w:right w:val="single" w:color="auto" w:sz="4" w:space="0"/>
            </w:tcBorders>
            <w:shd w:val="clear" w:color="auto" w:fill="auto"/>
            <w:noWrap/>
            <w:vAlign w:val="center"/>
          </w:tcPr>
          <w:p w14:paraId="1C83842E">
            <w:pPr>
              <w:widowControl/>
              <w:jc w:val="center"/>
              <w:rPr>
                <w:rFonts w:hint="eastAsia" w:ascii="楷体" w:hAnsi="楷体" w:eastAsia="楷体" w:cs="楷体"/>
                <w:b w:val="0"/>
                <w:bCs w:val="0"/>
                <w:sz w:val="18"/>
                <w:szCs w:val="18"/>
                <w:lang w:val="en-US" w:eastAsia="zh-CN"/>
              </w:rPr>
            </w:pPr>
          </w:p>
        </w:tc>
        <w:tc>
          <w:tcPr>
            <w:tcW w:w="10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B5A21F">
            <w:pPr>
              <w:widowControl/>
              <w:jc w:val="center"/>
              <w:rPr>
                <w:rFonts w:hint="default"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2021.3.17</w:t>
            </w:r>
          </w:p>
        </w:tc>
        <w:tc>
          <w:tcPr>
            <w:tcW w:w="2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C8A995">
            <w:pPr>
              <w:widowControl/>
              <w:ind w:firstLine="540" w:firstLineChars="300"/>
              <w:jc w:val="both"/>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咸丰县人民法院</w:t>
            </w:r>
          </w:p>
        </w:tc>
        <w:tc>
          <w:tcPr>
            <w:tcW w:w="38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F98D2A">
            <w:pPr>
              <w:widowControl/>
              <w:ind w:firstLine="180" w:firstLineChars="100"/>
              <w:jc w:val="both"/>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《关于失信被执行人信用修复的实施细则》</w:t>
            </w:r>
          </w:p>
        </w:tc>
      </w:tr>
      <w:tr w14:paraId="31129978">
        <w:tblPrEx>
          <w:tblCellMar>
            <w:top w:w="0" w:type="dxa"/>
            <w:left w:w="108" w:type="dxa"/>
            <w:bottom w:w="0" w:type="dxa"/>
            <w:right w:w="108" w:type="dxa"/>
          </w:tblCellMar>
        </w:tblPrEx>
        <w:trPr>
          <w:trHeight w:val="567" w:hRule="exact"/>
        </w:trPr>
        <w:tc>
          <w:tcPr>
            <w:tcW w:w="763" w:type="dxa"/>
            <w:vMerge w:val="continue"/>
            <w:tcBorders>
              <w:left w:val="single" w:color="auto" w:sz="4" w:space="0"/>
              <w:bottom w:val="single" w:color="auto" w:sz="4" w:space="0"/>
              <w:right w:val="single" w:color="auto" w:sz="4" w:space="0"/>
            </w:tcBorders>
            <w:shd w:val="clear" w:color="auto" w:fill="auto"/>
            <w:noWrap/>
            <w:vAlign w:val="center"/>
          </w:tcPr>
          <w:p w14:paraId="34F0644A">
            <w:pPr>
              <w:widowControl/>
              <w:jc w:val="center"/>
              <w:rPr>
                <w:rFonts w:hint="eastAsia" w:ascii="楷体" w:hAnsi="楷体" w:eastAsia="楷体" w:cs="楷体"/>
                <w:b w:val="0"/>
                <w:bCs w:val="0"/>
                <w:sz w:val="18"/>
                <w:szCs w:val="18"/>
                <w:lang w:val="en-US" w:eastAsia="zh-CN"/>
              </w:rPr>
            </w:pPr>
          </w:p>
        </w:tc>
        <w:tc>
          <w:tcPr>
            <w:tcW w:w="10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C27F02">
            <w:pPr>
              <w:widowControl/>
              <w:jc w:val="center"/>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2021.12.7</w:t>
            </w:r>
          </w:p>
        </w:tc>
        <w:tc>
          <w:tcPr>
            <w:tcW w:w="2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A4E374">
            <w:pPr>
              <w:widowControl/>
              <w:ind w:firstLine="540" w:firstLineChars="300"/>
              <w:jc w:val="both"/>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武陟县人民法院</w:t>
            </w:r>
          </w:p>
          <w:p w14:paraId="795CFF5E">
            <w:pPr>
              <w:widowControl/>
              <w:ind w:firstLine="540" w:firstLineChars="300"/>
              <w:jc w:val="both"/>
              <w:rPr>
                <w:rFonts w:hint="eastAsia" w:ascii="楷体" w:hAnsi="楷体" w:eastAsia="楷体" w:cs="楷体"/>
                <w:b w:val="0"/>
                <w:bCs w:val="0"/>
                <w:sz w:val="18"/>
                <w:szCs w:val="18"/>
                <w:lang w:val="en-US" w:eastAsia="zh-CN"/>
              </w:rPr>
            </w:pPr>
          </w:p>
        </w:tc>
        <w:tc>
          <w:tcPr>
            <w:tcW w:w="38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24ABA3">
            <w:pPr>
              <w:widowControl/>
              <w:jc w:val="both"/>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《关于构建失信被执行人信用修复机制的实施意见（试行）》</w:t>
            </w:r>
          </w:p>
        </w:tc>
      </w:tr>
    </w:tbl>
    <w:p w14:paraId="634F8692">
      <w:pPr>
        <w:numPr>
          <w:ilvl w:val="0"/>
          <w:numId w:val="0"/>
        </w:numPr>
        <w:ind w:firstLine="600" w:firstLineChars="200"/>
        <w:outlineLvl w:val="1"/>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从上图可以看出，多地法院对</w:t>
      </w:r>
      <w:r>
        <w:rPr>
          <w:rFonts w:hint="default" w:ascii="仿宋" w:hAnsi="仿宋" w:eastAsia="仿宋" w:cs="仿宋"/>
          <w:sz w:val="30"/>
          <w:szCs w:val="30"/>
          <w:lang w:val="en-US" w:eastAsia="zh-CN"/>
        </w:rPr>
        <w:t>信用修复制度</w:t>
      </w:r>
      <w:r>
        <w:rPr>
          <w:rFonts w:hint="eastAsia" w:ascii="仿宋" w:hAnsi="仿宋" w:eastAsia="仿宋" w:cs="仿宋"/>
          <w:sz w:val="30"/>
          <w:szCs w:val="30"/>
          <w:lang w:val="en-US" w:eastAsia="zh-CN"/>
        </w:rPr>
        <w:t>进行了规定。</w:t>
      </w:r>
      <w:r>
        <w:rPr>
          <w:rFonts w:hint="default" w:ascii="仿宋" w:hAnsi="仿宋" w:eastAsia="仿宋" w:cs="仿宋"/>
          <w:sz w:val="30"/>
          <w:szCs w:val="30"/>
          <w:lang w:val="en-US" w:eastAsia="zh-CN"/>
        </w:rPr>
        <w:t xml:space="preserve"> 这些文件展现的信用修复制度，是地方法院在执行工作中完善信用惩戒与</w:t>
      </w:r>
      <w:r>
        <w:rPr>
          <w:rFonts w:hint="eastAsia" w:ascii="仿宋" w:hAnsi="仿宋" w:eastAsia="仿宋" w:cs="仿宋"/>
          <w:sz w:val="30"/>
          <w:szCs w:val="30"/>
          <w:lang w:val="en-US" w:eastAsia="zh-CN"/>
        </w:rPr>
        <w:t>信用</w:t>
      </w:r>
      <w:r>
        <w:rPr>
          <w:rFonts w:hint="default" w:ascii="仿宋" w:hAnsi="仿宋" w:eastAsia="仿宋" w:cs="仿宋"/>
          <w:sz w:val="30"/>
          <w:szCs w:val="30"/>
          <w:lang w:val="en-US" w:eastAsia="zh-CN"/>
        </w:rPr>
        <w:t>修复闭环的探索，通过规范流程、强化承诺、分类施策，推动失信主体履行义务、修复信用，也为信用修复</w:t>
      </w:r>
      <w:r>
        <w:rPr>
          <w:rFonts w:hint="eastAsia" w:ascii="仿宋" w:hAnsi="仿宋" w:eastAsia="仿宋" w:cs="仿宋"/>
          <w:sz w:val="30"/>
          <w:szCs w:val="30"/>
          <w:lang w:val="en-US" w:eastAsia="zh-CN"/>
        </w:rPr>
        <w:t>制度</w:t>
      </w:r>
      <w:r>
        <w:rPr>
          <w:rFonts w:hint="default" w:ascii="仿宋" w:hAnsi="仿宋" w:eastAsia="仿宋" w:cs="仿宋"/>
          <w:sz w:val="30"/>
          <w:szCs w:val="30"/>
          <w:lang w:val="en-US" w:eastAsia="zh-CN"/>
        </w:rPr>
        <w:t>完善提供实践样本。</w:t>
      </w:r>
    </w:p>
    <w:p w14:paraId="44587AFB">
      <w:pPr>
        <w:numPr>
          <w:ilvl w:val="0"/>
          <w:numId w:val="0"/>
        </w:numPr>
        <w:ind w:firstLine="600" w:firstLineChars="200"/>
        <w:outlineLvl w:val="1"/>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（1）多层级探索，覆盖高院、中院、基层法院</w:t>
      </w:r>
    </w:p>
    <w:p w14:paraId="6E2BEE12">
      <w:pPr>
        <w:numPr>
          <w:ilvl w:val="0"/>
          <w:numId w:val="0"/>
        </w:numPr>
        <w:ind w:firstLine="600" w:firstLineChars="200"/>
        <w:outlineLvl w:val="1"/>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地方法院信用修复制度构建呈现“高院引领—中院突破—基层试点”的多层级推进态势。高院层面，如江西省、黑龙江省高院于2020年发布信用承诺与修复机制文件，奠定省级信用修复框架，从宏观层面对修复原则、基本流程定调 ；中院作为承上启下环节，宁波市、三明市等中院结合区域司法需求细化规则，像宁波市中院2019年推出的实施方案，聚焦“信用修复激励机制破解执行难”，在修复条件、操作流程上做本地化探索，既呼应高院导向，又贴合辖区案件特点 ；基层法院则侧重落地实践，信阳市浉河区、威宁县等基层法院发布实施细则，针对“公布失信名单信息”“信用修复具体操作”等微观问题明确标准，让信用修复制度真正嵌入执行一线，形成“省级搭框架—市级补细节—基层抓落地”的立体探索格局，适配不同层级司法需求。</w:t>
      </w:r>
    </w:p>
    <w:p w14:paraId="79063005">
      <w:pPr>
        <w:numPr>
          <w:ilvl w:val="0"/>
          <w:numId w:val="0"/>
        </w:numPr>
        <w:ind w:firstLine="600" w:firstLineChars="200"/>
        <w:outlineLvl w:val="1"/>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（2）聚焦执行难题，强化修复与惩戒协同</w:t>
      </w:r>
    </w:p>
    <w:p w14:paraId="06B34DE2">
      <w:pPr>
        <w:numPr>
          <w:ilvl w:val="0"/>
          <w:numId w:val="0"/>
        </w:numPr>
        <w:ind w:firstLine="600" w:firstLineChars="200"/>
        <w:outlineLvl w:val="1"/>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地方法院信用修复制度紧密围绕“破解执行难”核心目标，构建“惩戒+修复”双向机制。一方面，通过信用修复激励被执行人主动履行义务，如多地法院规定，被执行人积极履行债务、达成和解或提供有效担保的，可申请修复信用，赋予失信主体“信用重生”通道，激发履行潜能 ；另一方面，强化修复与惩戒的协同性，明确修复并非“免责”，而是有条件的信用恢复——若被执行人借修复拖延、虚假履行，法院可撤销修复并加重惩戒，如恢复失信名单、追究拒执责任。同时，部分法院将信用修复与“活封活扣”“执前和解”等善意执行措施结合，实现“惩戒威慑不放松、修复激励促履行”，双向化解执行困局，提升案件执行和解率与履行率。</w:t>
      </w:r>
    </w:p>
    <w:p w14:paraId="5BD1312F">
      <w:pPr>
        <w:numPr>
          <w:ilvl w:val="0"/>
          <w:numId w:val="0"/>
        </w:numPr>
        <w:ind w:firstLine="600" w:firstLineChars="200"/>
        <w:outlineLvl w:val="1"/>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（3）适配本地需求，规则设计差异显著</w:t>
      </w:r>
    </w:p>
    <w:p w14:paraId="782A44E1">
      <w:pPr>
        <w:numPr>
          <w:ilvl w:val="0"/>
          <w:numId w:val="0"/>
        </w:numPr>
        <w:ind w:firstLine="600" w:firstLineChars="200"/>
        <w:outlineLvl w:val="1"/>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受区域经济、案件类型、信用环境差异影响，地方法院信用修复制度在规则设计上呈现明显的本地化特征。从适用条件看，有的法院侧重“积极履行型”，要求被执行人完全清偿债务或提供足额担保；有的则兼顾“客观障碍型”，对受疫情、自然灾害等影响暂无法履行的主体，开放修复通道。在修复措施上，黄山市中院发布“企业信用修复公告”，聚焦市场主体信用恢复；杭州市、哈尔滨市中院推出“信用修复实施细则（试行）”，细化修复流程与监管；洛阳市中院2025年文件则针对“失信被执行人信用修复”制定操作指引，差异背后，是对本地失信结构、执行痛点的回应——如涉企案件集中地区，侧重企业信用修复以优化营商环境；自然人失信突出区域，更关注修复对个人信用重塑的作用。这种差异化探索，虽可能导致区域间规则衔接困难，但也为全国性制度完善积累了多元实践样本。</w:t>
      </w:r>
      <w:r>
        <w:rPr>
          <w:rStyle w:val="12"/>
          <w:rFonts w:hint="eastAsia" w:ascii="仿宋" w:hAnsi="仿宋" w:eastAsia="仿宋" w:cs="仿宋"/>
          <w:sz w:val="30"/>
          <w:szCs w:val="30"/>
          <w:lang w:val="en-US" w:eastAsia="zh-CN"/>
        </w:rPr>
        <w:footnoteReference w:id="3"/>
      </w:r>
    </w:p>
    <w:p w14:paraId="180AC1AC">
      <w:pPr>
        <w:numPr>
          <w:ilvl w:val="0"/>
          <w:numId w:val="0"/>
        </w:numPr>
        <w:ind w:firstLine="600" w:firstLineChars="200"/>
        <w:outlineLvl w:val="1"/>
        <w:rPr>
          <w:rFonts w:hint="eastAsia" w:ascii="楷体" w:hAnsi="楷体" w:eastAsia="楷体" w:cs="Times New Roman"/>
          <w:bCs/>
          <w:sz w:val="30"/>
          <w:szCs w:val="30"/>
          <w:lang w:val="en-US" w:eastAsia="zh-CN"/>
        </w:rPr>
      </w:pPr>
      <w:r>
        <w:rPr>
          <w:rFonts w:hint="eastAsia" w:ascii="楷体" w:hAnsi="楷体" w:eastAsia="楷体" w:cs="Times New Roman"/>
          <w:bCs/>
          <w:sz w:val="30"/>
          <w:szCs w:val="30"/>
          <w:lang w:val="en-US" w:eastAsia="zh-CN"/>
        </w:rPr>
        <w:t>（二）数据透视：司法实践中信用修复制度适用情况分析</w:t>
      </w:r>
    </w:p>
    <w:p w14:paraId="6BB7CC6F">
      <w:pPr>
        <w:numPr>
          <w:ilvl w:val="0"/>
          <w:numId w:val="0"/>
        </w:numPr>
        <w:outlineLvl w:val="1"/>
        <w:rPr>
          <w:rFonts w:hint="eastAsia" w:ascii="仿宋" w:hAnsi="仿宋" w:eastAsia="仿宋" w:cs="仿宋"/>
          <w:sz w:val="30"/>
          <w:szCs w:val="30"/>
          <w:lang w:val="en-US" w:eastAsia="zh-CN"/>
        </w:rPr>
        <w:sectPr>
          <w:footnotePr>
            <w:numFmt w:val="decimalEnclosedCircleChinese"/>
            <w:numRestart w:val="eachPage"/>
          </w:footnotePr>
          <w:type w:val="continuous"/>
          <w:pgSz w:w="11906" w:h="16838"/>
          <w:pgMar w:top="1440" w:right="1800" w:bottom="1440" w:left="1800" w:header="851" w:footer="992" w:gutter="0"/>
          <w:cols w:space="425" w:num="1"/>
          <w:docGrid w:type="lines" w:linePitch="312" w:charSpace="0"/>
        </w:sectPr>
      </w:pPr>
      <w:r>
        <w:rPr>
          <w:rFonts w:hint="eastAsia" w:ascii="仿宋" w:hAnsi="仿宋" w:eastAsia="仿宋" w:cs="仿宋"/>
          <w:sz w:val="30"/>
          <w:szCs w:val="30"/>
          <w:lang w:val="en-US" w:eastAsia="zh-CN"/>
        </w:rPr>
        <w:t xml:space="preserve">     2020年《最高人民法院工作报告》提到：依法及时删除失信名单 208.3 万人次，同比上升19.3%。而2017-2019年的《最高人民法院工作报告》则侧重于强调失信被执行人名单的纳入人</w:t>
      </w:r>
    </w:p>
    <w:p w14:paraId="4104C007">
      <w:pPr>
        <w:numPr>
          <w:ilvl w:val="0"/>
          <w:numId w:val="0"/>
        </w:numPr>
        <w:outlineLvl w:val="1"/>
        <w:rPr>
          <w:rFonts w:hint="eastAsia" w:ascii="仿宋" w:hAnsi="仿宋" w:eastAsia="仿宋" w:cs="仿宋"/>
          <w:sz w:val="30"/>
          <w:szCs w:val="30"/>
          <w:lang w:val="en-US" w:eastAsia="zh-CN"/>
        </w:rPr>
      </w:pPr>
      <w:r>
        <w:rPr>
          <w:rStyle w:val="12"/>
          <w:rFonts w:hint="eastAsia" w:ascii="仿宋" w:hAnsi="仿宋" w:eastAsia="仿宋" w:cs="仿宋"/>
          <w:sz w:val="30"/>
          <w:szCs w:val="30"/>
          <w:lang w:val="en-US" w:eastAsia="zh-CN"/>
        </w:rPr>
        <w:footnoteReference w:id="4"/>
      </w:r>
      <w:r>
        <w:rPr>
          <w:rFonts w:hint="eastAsia" w:ascii="仿宋" w:hAnsi="仿宋" w:eastAsia="仿宋" w:cs="仿宋"/>
          <w:sz w:val="30"/>
          <w:szCs w:val="30"/>
          <w:lang w:val="en-US" w:eastAsia="zh-CN"/>
        </w:rPr>
        <w:t>，可见在2020年以前，法院对失信被执行人名单制度的工作理念为以惩戒为主。2020年以后，各级法院开始意识到适用失信被执行人名单制度的根本目的是督促被执行人履行义务，形成良好的社会信用体系，因此开始重视失信被执行人名单的退出，从过去的以惩戒为重转变为惩戒与激励并重。2023年全国法院信用修复208.3万人次，同比增长15.9%，2024年全国法院信用修复245.7万人次，同比增长35.4%，2025年一季度全国法院新纳入失信名单39.42万人次，同比下降9个百分点，同时完成信用修复超40万人次，失信名单人数延续了2024年的负增长趋势。</w:t>
      </w:r>
    </w:p>
    <w:p w14:paraId="4A463CFF">
      <w:pPr>
        <w:numPr>
          <w:ilvl w:val="0"/>
          <w:numId w:val="0"/>
        </w:numPr>
        <w:ind w:firstLine="600" w:firstLineChars="200"/>
        <w:outlineLvl w:val="1"/>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在探索信用修复制度的司法实践现状时，有必要对人民法院失信惩戒的数量一并进行考察。以H省A市A县人民法院2020年1月1日至2024年12月31日执行案件为样本。</w:t>
      </w:r>
    </w:p>
    <w:p w14:paraId="1B68920D">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1"/>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表3：H省A市A县人民法院纳失、屏蔽、撤销情况</w:t>
      </w:r>
    </w:p>
    <w:tbl>
      <w:tblPr>
        <w:tblStyle w:val="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9"/>
        <w:gridCol w:w="1010"/>
        <w:gridCol w:w="1011"/>
        <w:gridCol w:w="994"/>
        <w:gridCol w:w="994"/>
        <w:gridCol w:w="996"/>
        <w:gridCol w:w="1008"/>
        <w:gridCol w:w="1325"/>
      </w:tblGrid>
      <w:tr w14:paraId="01F64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tcPr>
          <w:p w14:paraId="5E30D807">
            <w:pPr>
              <w:widowControl/>
              <w:jc w:val="center"/>
              <w:rPr>
                <w:rFonts w:hint="default" w:ascii="楷体_GB2312" w:hAnsi="宋体" w:eastAsia="楷体_GB2312" w:cs="宋体"/>
                <w:b/>
                <w:bCs/>
                <w:color w:val="000000"/>
                <w:kern w:val="0"/>
                <w:sz w:val="24"/>
                <w:lang w:val="en-US" w:eastAsia="zh-CN"/>
              </w:rPr>
            </w:pPr>
            <w:r>
              <w:rPr>
                <w:rFonts w:hint="eastAsia" w:ascii="楷体_GB2312" w:hAnsi="宋体" w:eastAsia="楷体_GB2312" w:cs="宋体"/>
                <w:b/>
                <w:bCs/>
                <w:color w:val="000000"/>
                <w:kern w:val="0"/>
                <w:sz w:val="24"/>
                <w:lang w:val="en-US" w:eastAsia="zh-CN"/>
              </w:rPr>
              <w:t>时间（年）</w:t>
            </w:r>
          </w:p>
        </w:tc>
        <w:tc>
          <w:tcPr>
            <w:tcW w:w="593" w:type="pct"/>
          </w:tcPr>
          <w:p w14:paraId="521CCF7A">
            <w:pPr>
              <w:widowControl/>
              <w:jc w:val="center"/>
              <w:rPr>
                <w:rFonts w:hint="eastAsia" w:ascii="楷体_GB2312" w:hAnsi="宋体" w:eastAsia="楷体_GB2312" w:cs="宋体"/>
                <w:b/>
                <w:bCs/>
                <w:color w:val="000000"/>
                <w:kern w:val="0"/>
                <w:sz w:val="24"/>
                <w:lang w:val="en-US" w:eastAsia="zh-CN"/>
              </w:rPr>
            </w:pPr>
            <w:r>
              <w:rPr>
                <w:rFonts w:hint="eastAsia" w:ascii="楷体_GB2312" w:hAnsi="宋体" w:eastAsia="楷体_GB2312" w:cs="宋体"/>
                <w:b/>
                <w:bCs/>
                <w:color w:val="000000"/>
                <w:kern w:val="0"/>
                <w:sz w:val="24"/>
                <w:lang w:val="en-US" w:eastAsia="zh-CN"/>
              </w:rPr>
              <w:t>新收首执数</w:t>
            </w:r>
          </w:p>
        </w:tc>
        <w:tc>
          <w:tcPr>
            <w:tcW w:w="593" w:type="pct"/>
          </w:tcPr>
          <w:p w14:paraId="10C967AD">
            <w:pPr>
              <w:widowControl/>
              <w:jc w:val="center"/>
              <w:rPr>
                <w:rFonts w:hint="default" w:ascii="楷体_GB2312" w:hAnsi="宋体" w:eastAsia="楷体_GB2312" w:cs="宋体"/>
                <w:b/>
                <w:bCs/>
                <w:color w:val="000000"/>
                <w:kern w:val="0"/>
                <w:sz w:val="24"/>
                <w:lang w:val="en-US" w:eastAsia="zh-CN"/>
              </w:rPr>
            </w:pPr>
            <w:r>
              <w:rPr>
                <w:rFonts w:hint="eastAsia" w:ascii="楷体_GB2312" w:hAnsi="宋体" w:eastAsia="楷体_GB2312" w:cs="宋体"/>
                <w:b/>
                <w:bCs/>
                <w:color w:val="000000"/>
                <w:kern w:val="0"/>
                <w:sz w:val="24"/>
                <w:lang w:val="en-US" w:eastAsia="zh-CN"/>
              </w:rPr>
              <w:t>失信（人次）</w:t>
            </w:r>
          </w:p>
        </w:tc>
        <w:tc>
          <w:tcPr>
            <w:tcW w:w="583" w:type="pct"/>
          </w:tcPr>
          <w:p w14:paraId="11C2A260">
            <w:pPr>
              <w:widowControl/>
              <w:jc w:val="center"/>
              <w:rPr>
                <w:rFonts w:hint="default" w:ascii="楷体_GB2312" w:hAnsi="宋体" w:eastAsia="楷体_GB2312" w:cs="宋体"/>
                <w:b/>
                <w:bCs/>
                <w:color w:val="000000"/>
                <w:kern w:val="0"/>
                <w:sz w:val="24"/>
                <w:lang w:val="en-US" w:eastAsia="zh-CN"/>
              </w:rPr>
            </w:pPr>
            <w:r>
              <w:rPr>
                <w:rFonts w:hint="eastAsia" w:ascii="楷体_GB2312" w:hAnsi="宋体" w:eastAsia="楷体_GB2312" w:cs="宋体"/>
                <w:b/>
                <w:bCs/>
                <w:color w:val="000000"/>
                <w:kern w:val="0"/>
                <w:sz w:val="24"/>
                <w:lang w:val="en-US" w:eastAsia="zh-CN"/>
              </w:rPr>
              <w:t>限高（人次）</w:t>
            </w:r>
          </w:p>
        </w:tc>
        <w:tc>
          <w:tcPr>
            <w:tcW w:w="583" w:type="pct"/>
          </w:tcPr>
          <w:p w14:paraId="1B89CE2E">
            <w:pPr>
              <w:widowControl/>
              <w:jc w:val="center"/>
              <w:rPr>
                <w:rFonts w:hint="default" w:ascii="楷体_GB2312" w:hAnsi="宋体" w:eastAsia="楷体_GB2312" w:cs="宋体"/>
                <w:b/>
                <w:bCs/>
                <w:color w:val="000000"/>
                <w:kern w:val="0"/>
                <w:sz w:val="24"/>
                <w:lang w:val="en-US" w:eastAsia="zh-CN"/>
              </w:rPr>
            </w:pPr>
            <w:r>
              <w:rPr>
                <w:rFonts w:hint="eastAsia" w:ascii="楷体_GB2312" w:hAnsi="宋体" w:eastAsia="楷体_GB2312" w:cs="宋体"/>
                <w:b/>
                <w:bCs/>
                <w:color w:val="000000"/>
                <w:kern w:val="0"/>
                <w:sz w:val="24"/>
                <w:lang w:val="en-US" w:eastAsia="zh-CN"/>
              </w:rPr>
              <w:t>屏蔽（人次）</w:t>
            </w:r>
          </w:p>
        </w:tc>
        <w:tc>
          <w:tcPr>
            <w:tcW w:w="584" w:type="pct"/>
          </w:tcPr>
          <w:p w14:paraId="48A22345">
            <w:pPr>
              <w:widowControl/>
              <w:jc w:val="center"/>
              <w:rPr>
                <w:rFonts w:hint="eastAsia" w:ascii="楷体_GB2312" w:hAnsi="宋体" w:eastAsia="楷体_GB2312" w:cs="宋体"/>
                <w:b/>
                <w:bCs/>
                <w:color w:val="000000"/>
                <w:kern w:val="0"/>
                <w:sz w:val="24"/>
                <w:lang w:val="en-US" w:eastAsia="zh-CN"/>
              </w:rPr>
            </w:pPr>
            <w:r>
              <w:rPr>
                <w:rFonts w:hint="eastAsia" w:ascii="楷体_GB2312" w:hAnsi="宋体" w:eastAsia="楷体_GB2312" w:cs="宋体"/>
                <w:b/>
                <w:bCs/>
                <w:color w:val="000000"/>
                <w:kern w:val="0"/>
                <w:sz w:val="24"/>
                <w:lang w:val="en-US" w:eastAsia="zh-CN"/>
              </w:rPr>
              <w:t>撤销（人次）</w:t>
            </w:r>
          </w:p>
        </w:tc>
        <w:tc>
          <w:tcPr>
            <w:tcW w:w="591" w:type="pct"/>
          </w:tcPr>
          <w:p w14:paraId="544053E0">
            <w:pPr>
              <w:widowControl/>
              <w:jc w:val="both"/>
              <w:rPr>
                <w:rFonts w:hint="default" w:ascii="楷体_GB2312" w:hAnsi="宋体" w:eastAsia="楷体_GB2312" w:cs="宋体"/>
                <w:b/>
                <w:bCs/>
                <w:color w:val="000000"/>
                <w:kern w:val="0"/>
                <w:sz w:val="24"/>
                <w:lang w:val="en-US" w:eastAsia="zh-CN"/>
              </w:rPr>
            </w:pPr>
            <w:r>
              <w:rPr>
                <w:rFonts w:hint="eastAsia" w:ascii="楷体_GB2312" w:hAnsi="宋体" w:eastAsia="楷体_GB2312" w:cs="宋体"/>
                <w:b/>
                <w:bCs/>
                <w:color w:val="000000"/>
                <w:kern w:val="0"/>
                <w:sz w:val="24"/>
                <w:lang w:val="en-US" w:eastAsia="zh-CN"/>
              </w:rPr>
              <w:t>无期限</w:t>
            </w:r>
          </w:p>
        </w:tc>
        <w:tc>
          <w:tcPr>
            <w:tcW w:w="777" w:type="pct"/>
          </w:tcPr>
          <w:p w14:paraId="20E43001">
            <w:pPr>
              <w:widowControl/>
              <w:jc w:val="center"/>
              <w:rPr>
                <w:rFonts w:hint="default" w:ascii="楷体_GB2312" w:hAnsi="宋体" w:eastAsia="楷体_GB2312" w:cs="宋体"/>
                <w:b/>
                <w:bCs/>
                <w:color w:val="000000"/>
                <w:kern w:val="0"/>
                <w:sz w:val="24"/>
                <w:lang w:val="en-US" w:eastAsia="zh-CN"/>
              </w:rPr>
            </w:pPr>
            <w:r>
              <w:rPr>
                <w:rFonts w:hint="eastAsia" w:ascii="楷体_GB2312" w:hAnsi="宋体" w:eastAsia="楷体_GB2312" w:cs="宋体"/>
                <w:b/>
                <w:bCs/>
                <w:color w:val="000000"/>
                <w:kern w:val="0"/>
                <w:sz w:val="24"/>
                <w:lang w:val="en-US" w:eastAsia="zh-CN"/>
              </w:rPr>
              <w:t>百分比</w:t>
            </w:r>
          </w:p>
        </w:tc>
      </w:tr>
      <w:tr w14:paraId="5F1F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tcPr>
          <w:p w14:paraId="23400A00">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2020</w:t>
            </w:r>
          </w:p>
        </w:tc>
        <w:tc>
          <w:tcPr>
            <w:tcW w:w="593" w:type="pct"/>
          </w:tcPr>
          <w:p w14:paraId="73EB7324">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2582</w:t>
            </w:r>
          </w:p>
        </w:tc>
        <w:tc>
          <w:tcPr>
            <w:tcW w:w="593" w:type="pct"/>
          </w:tcPr>
          <w:p w14:paraId="5768F2F2">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2104</w:t>
            </w:r>
          </w:p>
        </w:tc>
        <w:tc>
          <w:tcPr>
            <w:tcW w:w="583" w:type="pct"/>
          </w:tcPr>
          <w:p w14:paraId="50890AE2">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2531</w:t>
            </w:r>
          </w:p>
        </w:tc>
        <w:tc>
          <w:tcPr>
            <w:tcW w:w="583" w:type="pct"/>
          </w:tcPr>
          <w:p w14:paraId="632F71E5">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910</w:t>
            </w:r>
          </w:p>
        </w:tc>
        <w:tc>
          <w:tcPr>
            <w:tcW w:w="584" w:type="pct"/>
          </w:tcPr>
          <w:p w14:paraId="60E7DF58">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591" w:type="pct"/>
          </w:tcPr>
          <w:p w14:paraId="2F1AF7BC">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1967</w:t>
            </w:r>
          </w:p>
        </w:tc>
        <w:tc>
          <w:tcPr>
            <w:tcW w:w="777" w:type="pct"/>
          </w:tcPr>
          <w:p w14:paraId="0B40500D">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93.49%</w:t>
            </w:r>
          </w:p>
        </w:tc>
      </w:tr>
      <w:tr w14:paraId="6651A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tcPr>
          <w:p w14:paraId="31D2FBC8">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2021</w:t>
            </w:r>
          </w:p>
        </w:tc>
        <w:tc>
          <w:tcPr>
            <w:tcW w:w="593" w:type="pct"/>
          </w:tcPr>
          <w:p w14:paraId="1B1B0762">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3074</w:t>
            </w:r>
          </w:p>
        </w:tc>
        <w:tc>
          <w:tcPr>
            <w:tcW w:w="593" w:type="pct"/>
          </w:tcPr>
          <w:p w14:paraId="24893E4E">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2379</w:t>
            </w:r>
          </w:p>
        </w:tc>
        <w:tc>
          <w:tcPr>
            <w:tcW w:w="583" w:type="pct"/>
          </w:tcPr>
          <w:p w14:paraId="5ACE1466">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2749</w:t>
            </w:r>
          </w:p>
        </w:tc>
        <w:tc>
          <w:tcPr>
            <w:tcW w:w="583" w:type="pct"/>
          </w:tcPr>
          <w:p w14:paraId="14A60EF5">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856</w:t>
            </w:r>
          </w:p>
        </w:tc>
        <w:tc>
          <w:tcPr>
            <w:tcW w:w="584" w:type="pct"/>
          </w:tcPr>
          <w:p w14:paraId="1AFCEEBF">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591" w:type="pct"/>
          </w:tcPr>
          <w:p w14:paraId="56FA3F59">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2246</w:t>
            </w:r>
          </w:p>
        </w:tc>
        <w:tc>
          <w:tcPr>
            <w:tcW w:w="777" w:type="pct"/>
          </w:tcPr>
          <w:p w14:paraId="07D8C512">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94.41%</w:t>
            </w:r>
          </w:p>
        </w:tc>
      </w:tr>
      <w:tr w14:paraId="77930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tcPr>
          <w:p w14:paraId="134A704C">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2022</w:t>
            </w:r>
          </w:p>
        </w:tc>
        <w:tc>
          <w:tcPr>
            <w:tcW w:w="593" w:type="pct"/>
          </w:tcPr>
          <w:p w14:paraId="5561D4AB">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3333</w:t>
            </w:r>
          </w:p>
        </w:tc>
        <w:tc>
          <w:tcPr>
            <w:tcW w:w="593" w:type="pct"/>
          </w:tcPr>
          <w:p w14:paraId="16EEF085">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2979</w:t>
            </w:r>
          </w:p>
        </w:tc>
        <w:tc>
          <w:tcPr>
            <w:tcW w:w="583" w:type="pct"/>
          </w:tcPr>
          <w:p w14:paraId="06BC206A">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3456</w:t>
            </w:r>
          </w:p>
        </w:tc>
        <w:tc>
          <w:tcPr>
            <w:tcW w:w="583" w:type="pct"/>
          </w:tcPr>
          <w:p w14:paraId="49D8149B">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762</w:t>
            </w:r>
          </w:p>
        </w:tc>
        <w:tc>
          <w:tcPr>
            <w:tcW w:w="584" w:type="pct"/>
          </w:tcPr>
          <w:p w14:paraId="6F467D43">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591" w:type="pct"/>
          </w:tcPr>
          <w:p w14:paraId="3A80878D">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2728</w:t>
            </w:r>
          </w:p>
        </w:tc>
        <w:tc>
          <w:tcPr>
            <w:tcW w:w="777" w:type="pct"/>
          </w:tcPr>
          <w:p w14:paraId="3729E293">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91.57%</w:t>
            </w:r>
          </w:p>
        </w:tc>
      </w:tr>
      <w:tr w14:paraId="6D93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tcPr>
          <w:p w14:paraId="5B21A68E">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2023</w:t>
            </w:r>
          </w:p>
        </w:tc>
        <w:tc>
          <w:tcPr>
            <w:tcW w:w="593" w:type="pct"/>
          </w:tcPr>
          <w:p w14:paraId="0D5274BC">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3755</w:t>
            </w:r>
          </w:p>
        </w:tc>
        <w:tc>
          <w:tcPr>
            <w:tcW w:w="593" w:type="pct"/>
          </w:tcPr>
          <w:p w14:paraId="7CE137A4">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2818</w:t>
            </w:r>
          </w:p>
        </w:tc>
        <w:tc>
          <w:tcPr>
            <w:tcW w:w="583" w:type="pct"/>
          </w:tcPr>
          <w:p w14:paraId="77D7A219">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3320</w:t>
            </w:r>
          </w:p>
        </w:tc>
        <w:tc>
          <w:tcPr>
            <w:tcW w:w="583" w:type="pct"/>
          </w:tcPr>
          <w:p w14:paraId="348C62BF">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1040</w:t>
            </w:r>
          </w:p>
        </w:tc>
        <w:tc>
          <w:tcPr>
            <w:tcW w:w="584" w:type="pct"/>
          </w:tcPr>
          <w:p w14:paraId="47289D9F">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591" w:type="pct"/>
          </w:tcPr>
          <w:p w14:paraId="636E2DE8">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2562</w:t>
            </w:r>
          </w:p>
        </w:tc>
        <w:tc>
          <w:tcPr>
            <w:tcW w:w="777" w:type="pct"/>
          </w:tcPr>
          <w:p w14:paraId="1CBB5A78">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90.92%</w:t>
            </w:r>
          </w:p>
        </w:tc>
      </w:tr>
      <w:tr w14:paraId="0859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tcPr>
          <w:p w14:paraId="072FE449">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2024</w:t>
            </w:r>
          </w:p>
        </w:tc>
        <w:tc>
          <w:tcPr>
            <w:tcW w:w="593" w:type="pct"/>
          </w:tcPr>
          <w:p w14:paraId="47870AB8">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3743</w:t>
            </w:r>
          </w:p>
        </w:tc>
        <w:tc>
          <w:tcPr>
            <w:tcW w:w="593" w:type="pct"/>
          </w:tcPr>
          <w:p w14:paraId="4794757E">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2432</w:t>
            </w:r>
          </w:p>
        </w:tc>
        <w:tc>
          <w:tcPr>
            <w:tcW w:w="583" w:type="pct"/>
          </w:tcPr>
          <w:p w14:paraId="7F1936E4">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3359</w:t>
            </w:r>
          </w:p>
        </w:tc>
        <w:tc>
          <w:tcPr>
            <w:tcW w:w="583" w:type="pct"/>
          </w:tcPr>
          <w:p w14:paraId="2FC0BD85">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1229</w:t>
            </w:r>
          </w:p>
        </w:tc>
        <w:tc>
          <w:tcPr>
            <w:tcW w:w="584" w:type="pct"/>
          </w:tcPr>
          <w:p w14:paraId="215CD9F8">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0</w:t>
            </w:r>
          </w:p>
        </w:tc>
        <w:tc>
          <w:tcPr>
            <w:tcW w:w="591" w:type="pct"/>
          </w:tcPr>
          <w:p w14:paraId="31DA207C">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1913</w:t>
            </w:r>
          </w:p>
        </w:tc>
        <w:tc>
          <w:tcPr>
            <w:tcW w:w="777" w:type="pct"/>
          </w:tcPr>
          <w:p w14:paraId="40EB09C1">
            <w:pPr>
              <w:numPr>
                <w:ilvl w:val="0"/>
                <w:numId w:val="0"/>
              </w:numPr>
              <w:jc w:val="center"/>
              <w:outlineLvl w:val="1"/>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78.95%</w:t>
            </w:r>
          </w:p>
        </w:tc>
      </w:tr>
    </w:tbl>
    <w:p w14:paraId="10A62151">
      <w:pPr>
        <w:numPr>
          <w:ilvl w:val="0"/>
          <w:numId w:val="0"/>
        </w:numPr>
        <w:ind w:firstLine="600" w:firstLineChars="200"/>
        <w:rPr>
          <w:rFonts w:hint="eastAsia" w:ascii="仿宋" w:hAnsi="仿宋" w:eastAsia="仿宋" w:cs="仿宋"/>
          <w:color w:val="4874CB" w:themeColor="accent1"/>
          <w:sz w:val="30"/>
          <w:szCs w:val="30"/>
          <w:lang w:val="en-US" w:eastAsia="zh-CN"/>
          <w14:textFill>
            <w14:solidFill>
              <w14:schemeClr w14:val="accent1"/>
            </w14:solidFill>
          </w14:textFill>
        </w:rPr>
      </w:pPr>
      <w:r>
        <w:rPr>
          <w:rFonts w:hint="eastAsia" w:ascii="仿宋" w:hAnsi="仿宋" w:eastAsia="仿宋" w:cs="仿宋"/>
          <w:sz w:val="30"/>
          <w:szCs w:val="30"/>
          <w:lang w:val="en-US" w:eastAsia="zh-CN"/>
        </w:rPr>
        <w:t>从信用惩戒和信用修复样本数据可以看出，同时结合人民法院执行工作的现状，笔者认为，司法实践中信用惩戒与信用修复主要有以下几个特点：（1）信用惩戒“泛化”。如表3所示，2020年至2024年，H省A市A县人民法院纳失数量与限高数量相加远超新收首执案件数，可谓是“立案则惩戒”。（2）失信惩戒中以“有履行能力而拒不履行”情形纳失的数量占总体数量的比重较高。如表3所示，H省A市A县人民法院以“有履行能力而拒不履行”情形纳失的数量占总体数量的比重较高，基本在80%-90%左右。也就是说该项作为一个“兜底条款”被过度使用。（3）信用修复方式以屏蔽和撤销为主，且屏蔽占比较重。如表3所示，H省A市A县人民法院的信用修复包括屏蔽和撤销，且2020年撤销数量仅为3人次，2021年撤销数量仅为1人次，2022至2024年则无撤销数量，故信用修复方式以屏蔽为主。（4）信用修复与失信惩戒的比例呈上升趋势。如表3所示，H省A市A县人民法院信用修复占失信惩戒的比重由2020年的43.39%至2024年的50.54%，信用修复与失信惩戒的比例呈上升趋势。</w:t>
      </w:r>
    </w:p>
    <w:p w14:paraId="3EDEE23A">
      <w:pPr>
        <w:numPr>
          <w:ilvl w:val="0"/>
          <w:numId w:val="0"/>
        </w:numPr>
        <w:ind w:firstLine="600" w:firstLineChars="200"/>
        <w:outlineLvl w:val="0"/>
        <w:rPr>
          <w:rFonts w:hint="eastAsia" w:ascii="仿宋" w:hAnsi="仿宋" w:eastAsia="仿宋" w:cs="仿宋"/>
          <w:sz w:val="30"/>
          <w:szCs w:val="30"/>
          <w:lang w:val="en-US" w:eastAsia="zh-CN"/>
        </w:rPr>
      </w:pPr>
      <w:r>
        <w:rPr>
          <w:rFonts w:hint="eastAsia" w:ascii="黑体" w:hAnsi="黑体" w:eastAsia="黑体" w:cs="黑体"/>
          <w:sz w:val="30"/>
          <w:szCs w:val="30"/>
          <w:lang w:val="en-US" w:eastAsia="zh-CN"/>
        </w:rPr>
        <w:t>二、信用修复制度的多维困境及原因分析</w:t>
      </w:r>
    </w:p>
    <w:p w14:paraId="3532EC3C">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信用修复制度在实践推进中，面临着复杂且多维角度的挑战，这些挑战既源于制度设计本身，也体现在实践操作环节。下面先聚焦规范文件本身存在问题，再探讨信息修复制度再实践中存在的操作障碍。</w:t>
      </w:r>
    </w:p>
    <w:p w14:paraId="1AFDC17B">
      <w:pPr>
        <w:numPr>
          <w:ilvl w:val="0"/>
          <w:numId w:val="0"/>
        </w:numPr>
        <w:ind w:firstLine="600" w:firstLineChars="200"/>
        <w:rPr>
          <w:rFonts w:hint="default" w:ascii="楷体" w:hAnsi="楷体" w:eastAsia="楷体" w:cs="Times New Roman"/>
          <w:bCs/>
          <w:sz w:val="30"/>
          <w:szCs w:val="30"/>
          <w:lang w:val="en-US" w:eastAsia="zh-CN"/>
        </w:rPr>
      </w:pPr>
      <w:r>
        <w:rPr>
          <w:rFonts w:hint="eastAsia" w:ascii="楷体" w:hAnsi="楷体" w:eastAsia="楷体" w:cs="Times New Roman"/>
          <w:bCs/>
          <w:sz w:val="30"/>
          <w:szCs w:val="30"/>
          <w:lang w:val="en-US" w:eastAsia="zh-CN"/>
        </w:rPr>
        <w:t>（一）规范性文件的不足</w:t>
      </w:r>
    </w:p>
    <w:p w14:paraId="4693AA40">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1.适用对象不明确。失信被执行人信用修复制度的适用对象，是指可以申请失信被执行人信用修复的主体类型。确定适用对象是失信被执行人信用修复制度的实施前提，同时也明确了 失信被执行人信用修复制度与其他制度的界限划分。四个省级的规范性文件对信用修复适用对象的规定如表4所示：</w:t>
      </w:r>
    </w:p>
    <w:p w14:paraId="0A7C4B79">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1"/>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表4：四个省级规范文件对适用对象的规定</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51"/>
        <w:gridCol w:w="4068"/>
      </w:tblGrid>
      <w:tr w14:paraId="17DB5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612" w:type="pct"/>
            <w:shd w:val="clear" w:color="auto" w:fill="F4B382" w:themeFill="accent2" w:themeFillTint="99"/>
            <w:vAlign w:val="top"/>
          </w:tcPr>
          <w:p w14:paraId="754FC351">
            <w:pPr>
              <w:numPr>
                <w:ilvl w:val="0"/>
                <w:numId w:val="0"/>
              </w:numPr>
              <w:ind w:firstLine="280" w:firstLineChars="100"/>
              <w:rPr>
                <w:rFonts w:hint="default" w:ascii="Times New Roman" w:hAnsi="Times New Roman" w:eastAsia="仿宋" w:cs="Times New Roman"/>
                <w:sz w:val="28"/>
                <w:szCs w:val="28"/>
                <w:highlight w:val="none"/>
                <w:vertAlign w:val="baseline"/>
                <w:lang w:val="en-US" w:eastAsia="zh-CN"/>
              </w:rPr>
            </w:pPr>
            <w:r>
              <w:rPr>
                <w:rFonts w:hint="default" w:ascii="Times New Roman" w:hAnsi="Times New Roman" w:eastAsia="仿宋" w:cs="Times New Roman"/>
                <w:sz w:val="28"/>
                <w:szCs w:val="28"/>
                <w:highlight w:val="none"/>
                <w:lang w:val="en-US" w:eastAsia="zh-CN"/>
              </w:rPr>
              <w:t xml:space="preserve">规范性文件 </w:t>
            </w:r>
          </w:p>
        </w:tc>
        <w:tc>
          <w:tcPr>
            <w:tcW w:w="2387" w:type="pct"/>
            <w:shd w:val="clear" w:color="auto" w:fill="F4B382" w:themeFill="accent2" w:themeFillTint="99"/>
            <w:vAlign w:val="top"/>
          </w:tcPr>
          <w:p w14:paraId="0A4D4371">
            <w:pPr>
              <w:numPr>
                <w:ilvl w:val="0"/>
                <w:numId w:val="0"/>
              </w:numPr>
              <w:rPr>
                <w:rFonts w:hint="default" w:ascii="Times New Roman" w:hAnsi="Times New Roman" w:eastAsia="仿宋" w:cs="Times New Roman"/>
                <w:sz w:val="28"/>
                <w:szCs w:val="28"/>
                <w:highlight w:val="none"/>
                <w:vertAlign w:val="baseline"/>
                <w:lang w:val="en-US" w:eastAsia="zh-CN"/>
              </w:rPr>
            </w:pPr>
            <w:r>
              <w:rPr>
                <w:rFonts w:hint="default" w:ascii="Times New Roman" w:hAnsi="Times New Roman" w:eastAsia="仿宋" w:cs="Times New Roman"/>
                <w:sz w:val="28"/>
                <w:szCs w:val="28"/>
                <w:highlight w:val="none"/>
                <w:vertAlign w:val="baseline"/>
                <w:lang w:val="en-US" w:eastAsia="zh-CN"/>
              </w:rPr>
              <w:t>关于适用对象的规定</w:t>
            </w:r>
          </w:p>
        </w:tc>
      </w:tr>
      <w:tr w14:paraId="6D2A4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612" w:type="pct"/>
            <w:vAlign w:val="top"/>
          </w:tcPr>
          <w:p w14:paraId="1B53D34E">
            <w:pPr>
              <w:numPr>
                <w:ilvl w:val="0"/>
                <w:numId w:val="0"/>
              </w:numPr>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黑龙江省《关于失信被执行人信用修复的实施意见 （试行 ）》</w:t>
            </w:r>
          </w:p>
        </w:tc>
        <w:tc>
          <w:tcPr>
            <w:tcW w:w="2387" w:type="pct"/>
            <w:vAlign w:val="top"/>
          </w:tcPr>
          <w:p w14:paraId="0E6B3601">
            <w:pPr>
              <w:numPr>
                <w:ilvl w:val="0"/>
                <w:numId w:val="0"/>
              </w:numPr>
              <w:rPr>
                <w:rFonts w:hint="eastAsia"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 xml:space="preserve"> 已被法院纳入失信被执行人名单的被执行人 </w:t>
            </w:r>
          </w:p>
          <w:p w14:paraId="476FAA98">
            <w:pPr>
              <w:numPr>
                <w:ilvl w:val="0"/>
                <w:numId w:val="0"/>
              </w:numPr>
              <w:rPr>
                <w:rFonts w:hint="eastAsia" w:ascii="仿宋" w:hAnsi="仿宋" w:eastAsia="仿宋" w:cs="仿宋"/>
                <w:sz w:val="30"/>
                <w:szCs w:val="30"/>
                <w:vertAlign w:val="baseline"/>
                <w:lang w:val="en-US" w:eastAsia="zh-CN"/>
              </w:rPr>
            </w:pPr>
          </w:p>
        </w:tc>
      </w:tr>
      <w:tr w14:paraId="49121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612" w:type="pct"/>
            <w:vAlign w:val="top"/>
          </w:tcPr>
          <w:p w14:paraId="5C532B7E">
            <w:pPr>
              <w:numPr>
                <w:ilvl w:val="0"/>
                <w:numId w:val="0"/>
              </w:numPr>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湖南省《关于建立失信被执行人信用承诺和修复机制的实施办法（试行）》</w:t>
            </w:r>
          </w:p>
        </w:tc>
        <w:tc>
          <w:tcPr>
            <w:tcW w:w="2387" w:type="pct"/>
            <w:vAlign w:val="top"/>
          </w:tcPr>
          <w:p w14:paraId="0808D610">
            <w:pPr>
              <w:numPr>
                <w:ilvl w:val="0"/>
                <w:numId w:val="0"/>
              </w:numP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已被纳入失信被执行人名单库的被执行人</w:t>
            </w:r>
          </w:p>
        </w:tc>
      </w:tr>
      <w:tr w14:paraId="0482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612" w:type="pct"/>
            <w:vAlign w:val="top"/>
          </w:tcPr>
          <w:p w14:paraId="6F760919">
            <w:pPr>
              <w:numPr>
                <w:ilvl w:val="0"/>
                <w:numId w:val="0"/>
              </w:numPr>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江西省《关于印发建立失信被执行人信用承诺和信用修复机制的实施意见（试行）》</w:t>
            </w:r>
          </w:p>
        </w:tc>
        <w:tc>
          <w:tcPr>
            <w:tcW w:w="2387" w:type="pct"/>
            <w:vAlign w:val="top"/>
          </w:tcPr>
          <w:p w14:paraId="09400467">
            <w:pPr>
              <w:numPr>
                <w:ilvl w:val="0"/>
                <w:numId w:val="0"/>
              </w:numP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已被纳入失信被执行人名单库的被执行人</w:t>
            </w:r>
          </w:p>
          <w:p w14:paraId="76971112">
            <w:pPr>
              <w:numPr>
                <w:ilvl w:val="0"/>
                <w:numId w:val="0"/>
              </w:numPr>
              <w:rPr>
                <w:rFonts w:hint="eastAsia" w:ascii="仿宋" w:hAnsi="仿宋" w:eastAsia="仿宋" w:cs="仿宋"/>
                <w:sz w:val="21"/>
                <w:szCs w:val="21"/>
                <w:vertAlign w:val="baseline"/>
                <w:lang w:val="en-US" w:eastAsia="zh-CN"/>
              </w:rPr>
            </w:pPr>
          </w:p>
        </w:tc>
      </w:tr>
      <w:tr w14:paraId="1A0D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612" w:type="pct"/>
            <w:vAlign w:val="top"/>
          </w:tcPr>
          <w:p w14:paraId="65D4F4FE">
            <w:pPr>
              <w:numPr>
                <w:ilvl w:val="0"/>
                <w:numId w:val="0"/>
              </w:numPr>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宁夏回族自治区《建立失信被执行人信用承诺和信用修复机制从源头切实解决执行难问题的暂行规定》</w:t>
            </w:r>
          </w:p>
        </w:tc>
        <w:tc>
          <w:tcPr>
            <w:tcW w:w="2387" w:type="pct"/>
            <w:vAlign w:val="top"/>
          </w:tcPr>
          <w:p w14:paraId="08CEDBC4">
            <w:pPr>
              <w:numPr>
                <w:ilvl w:val="0"/>
                <w:numId w:val="0"/>
              </w:numP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已被纳入失信被执行人名单库的被执行人</w:t>
            </w:r>
          </w:p>
        </w:tc>
      </w:tr>
    </w:tbl>
    <w:p w14:paraId="4E9E90DD">
      <w:pPr>
        <w:numPr>
          <w:ilvl w:val="0"/>
          <w:numId w:val="0"/>
        </w:numPr>
        <w:ind w:firstLine="300" w:firstLineChars="1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从上表可以看到，在省级规范层面，目前失信被执行人信用修复制度的适用对象只有一类主体，即已经被纳入失信被执行人名单的被执行人。但在地市级的规范层面，部分文件还允许尚未被纳入失信被执行人名单的被执行人申请信用修复，如哈尔滨市中级人民法院《失信被执行人信用修复实施办法（试行）》，该法院对未被纳入全国法院失信被执行人名单的，存在特定情形时</w:t>
      </w:r>
      <w:r>
        <w:rPr>
          <w:rFonts w:hint="eastAsia" w:ascii="仿宋" w:hAnsi="仿宋" w:eastAsia="仿宋" w:cs="仿宋"/>
          <w:sz w:val="30"/>
          <w:szCs w:val="30"/>
          <w:vertAlign w:val="superscript"/>
          <w:lang w:val="en-US" w:eastAsia="zh-CN"/>
        </w:rPr>
        <w:footnoteReference w:id="5"/>
      </w:r>
      <w:r>
        <w:rPr>
          <w:rFonts w:hint="eastAsia" w:ascii="仿宋" w:hAnsi="仿宋" w:eastAsia="仿宋" w:cs="仿宋"/>
          <w:sz w:val="30"/>
          <w:szCs w:val="30"/>
          <w:lang w:val="en-US" w:eastAsia="zh-CN"/>
        </w:rPr>
        <w:t>，经被执行人承诺，人民法院可以给予宽限期，暂缓将其纳入失信被执行人名单。省级规范和部分地市级规范的不同规定反映出失信被执行人信用修复制度的两种探索路径：一是，只允许受到失信惩戒的被执行人申请信用修复。二是，允许尚未受到失信惩戒的被执行人申请信用修复。这两种路径究竟哪种较为合理，抑或是存在另一种更为科学合理的方式，是一个值得深思探讨的问题。</w:t>
      </w:r>
    </w:p>
    <w:p w14:paraId="59DC2F13">
      <w:pPr>
        <w:numPr>
          <w:ilvl w:val="0"/>
          <w:numId w:val="0"/>
        </w:numPr>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适用情形不统一。失信被执行人信用修复制度的适用情形，是指失信被执行人满足何种条件时得以申请信用修复。适用情形的内容是失信被执行人信用修复制度的准入门槛，决定了这一制度的适用范围。从样本的规范性文件来看，四省法院对失信被执行人信用修复的适用规定了多种情形，且在个别适用情形上存在些许差异。如下图所示。</w:t>
      </w:r>
    </w:p>
    <w:p w14:paraId="68F8FE5A">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表5：三个不同地区法院关于信用修复规定</w:t>
      </w:r>
    </w:p>
    <w:tbl>
      <w:tblPr>
        <w:tblStyle w:val="8"/>
        <w:tblW w:w="8166" w:type="dxa"/>
        <w:tblInd w:w="91" w:type="dxa"/>
        <w:tblLayout w:type="fixed"/>
        <w:tblCellMar>
          <w:top w:w="0" w:type="dxa"/>
          <w:left w:w="108" w:type="dxa"/>
          <w:bottom w:w="0" w:type="dxa"/>
          <w:right w:w="108" w:type="dxa"/>
        </w:tblCellMar>
      </w:tblPr>
      <w:tblGrid>
        <w:gridCol w:w="1213"/>
        <w:gridCol w:w="2454"/>
        <w:gridCol w:w="2296"/>
        <w:gridCol w:w="2203"/>
      </w:tblGrid>
      <w:tr w14:paraId="098A2D65">
        <w:tblPrEx>
          <w:tblCellMar>
            <w:top w:w="0" w:type="dxa"/>
            <w:left w:w="108" w:type="dxa"/>
            <w:bottom w:w="0" w:type="dxa"/>
            <w:right w:w="108" w:type="dxa"/>
          </w:tblCellMar>
        </w:tblPrEx>
        <w:trPr>
          <w:trHeight w:val="567" w:hRule="exact"/>
        </w:trPr>
        <w:tc>
          <w:tcPr>
            <w:tcW w:w="1213" w:type="dxa"/>
            <w:tcBorders>
              <w:top w:val="single" w:color="auto" w:sz="4" w:space="0"/>
              <w:left w:val="single" w:color="auto" w:sz="4" w:space="0"/>
              <w:bottom w:val="single" w:color="auto" w:sz="4" w:space="0"/>
              <w:right w:val="single" w:color="auto" w:sz="4" w:space="0"/>
            </w:tcBorders>
            <w:shd w:val="clear" w:color="000000" w:fill="DDD9C4"/>
            <w:noWrap/>
            <w:vAlign w:val="center"/>
          </w:tcPr>
          <w:p w14:paraId="0B08B828">
            <w:pPr>
              <w:widowControl/>
              <w:jc w:val="center"/>
              <w:rPr>
                <w:rFonts w:hint="default" w:ascii="楷体_GB2312" w:hAnsi="宋体" w:eastAsia="楷体_GB2312" w:cs="宋体"/>
                <w:b/>
                <w:bCs/>
                <w:color w:val="000000"/>
                <w:kern w:val="0"/>
                <w:sz w:val="24"/>
                <w:lang w:val="en-US" w:eastAsia="zh-CN"/>
              </w:rPr>
            </w:pPr>
            <w:r>
              <w:rPr>
                <w:rFonts w:hint="eastAsia" w:ascii="楷体_GB2312" w:hAnsi="宋体" w:eastAsia="楷体_GB2312" w:cs="宋体"/>
                <w:b/>
                <w:bCs/>
                <w:color w:val="000000"/>
                <w:kern w:val="0"/>
                <w:sz w:val="24"/>
                <w:lang w:val="en-US" w:eastAsia="zh-CN"/>
              </w:rPr>
              <w:t>制定主体</w:t>
            </w:r>
          </w:p>
        </w:tc>
        <w:tc>
          <w:tcPr>
            <w:tcW w:w="2454" w:type="dxa"/>
            <w:tcBorders>
              <w:top w:val="single" w:color="auto" w:sz="4" w:space="0"/>
              <w:left w:val="single" w:color="auto" w:sz="4" w:space="0"/>
              <w:bottom w:val="single" w:color="auto" w:sz="4" w:space="0"/>
              <w:right w:val="single" w:color="auto" w:sz="4" w:space="0"/>
            </w:tcBorders>
            <w:shd w:val="clear" w:color="000000" w:fill="DDD9C4"/>
            <w:noWrap/>
            <w:vAlign w:val="center"/>
          </w:tcPr>
          <w:p w14:paraId="01C7D8A2">
            <w:pPr>
              <w:widowControl/>
              <w:jc w:val="center"/>
              <w:rPr>
                <w:rFonts w:hint="default" w:ascii="楷体_GB2312" w:hAnsi="宋体" w:eastAsia="楷体_GB2312" w:cs="宋体"/>
                <w:b/>
                <w:bCs/>
                <w:color w:val="000000"/>
                <w:kern w:val="0"/>
                <w:sz w:val="24"/>
                <w:lang w:val="en-US" w:eastAsia="zh-CN"/>
              </w:rPr>
            </w:pPr>
            <w:r>
              <w:rPr>
                <w:rFonts w:hint="eastAsia" w:ascii="楷体_GB2312" w:hAnsi="宋体" w:eastAsia="楷体_GB2312" w:cs="宋体"/>
                <w:b/>
                <w:bCs/>
                <w:color w:val="000000"/>
                <w:kern w:val="0"/>
                <w:sz w:val="24"/>
                <w:lang w:val="en-US" w:eastAsia="zh-CN"/>
              </w:rPr>
              <w:t>文件名称</w:t>
            </w:r>
          </w:p>
        </w:tc>
        <w:tc>
          <w:tcPr>
            <w:tcW w:w="2296" w:type="dxa"/>
            <w:tcBorders>
              <w:top w:val="single" w:color="auto" w:sz="4" w:space="0"/>
              <w:left w:val="single" w:color="auto" w:sz="4" w:space="0"/>
              <w:bottom w:val="single" w:color="auto" w:sz="4" w:space="0"/>
              <w:right w:val="single" w:color="auto" w:sz="4" w:space="0"/>
            </w:tcBorders>
            <w:shd w:val="clear" w:color="000000" w:fill="DDD9C4"/>
            <w:noWrap/>
            <w:vAlign w:val="center"/>
          </w:tcPr>
          <w:p w14:paraId="28B544E3">
            <w:pPr>
              <w:widowControl/>
              <w:jc w:val="center"/>
              <w:rPr>
                <w:rFonts w:hint="default" w:ascii="楷体_GB2312" w:hAnsi="宋体" w:eastAsia="楷体_GB2312" w:cs="宋体"/>
                <w:b/>
                <w:bCs/>
                <w:color w:val="000000"/>
                <w:kern w:val="0"/>
                <w:sz w:val="24"/>
                <w:lang w:val="en-US" w:eastAsia="zh-CN"/>
              </w:rPr>
            </w:pPr>
            <w:r>
              <w:rPr>
                <w:rFonts w:hint="eastAsia" w:ascii="楷体_GB2312" w:hAnsi="宋体" w:eastAsia="楷体_GB2312" w:cs="宋体"/>
                <w:b/>
                <w:bCs/>
                <w:color w:val="000000"/>
                <w:kern w:val="0"/>
                <w:sz w:val="24"/>
                <w:lang w:val="en-US" w:eastAsia="zh-CN"/>
              </w:rPr>
              <w:t>一般情形</w:t>
            </w:r>
          </w:p>
        </w:tc>
        <w:tc>
          <w:tcPr>
            <w:tcW w:w="2203" w:type="dxa"/>
            <w:tcBorders>
              <w:top w:val="single" w:color="auto" w:sz="4" w:space="0"/>
              <w:left w:val="single" w:color="auto" w:sz="4" w:space="0"/>
              <w:bottom w:val="single" w:color="auto" w:sz="4" w:space="0"/>
              <w:right w:val="single" w:color="auto" w:sz="4" w:space="0"/>
            </w:tcBorders>
            <w:shd w:val="clear" w:color="000000" w:fill="DDD9C4"/>
            <w:noWrap/>
            <w:vAlign w:val="center"/>
          </w:tcPr>
          <w:p w14:paraId="02F1B320">
            <w:pPr>
              <w:widowControl/>
              <w:jc w:val="center"/>
              <w:rPr>
                <w:rFonts w:hint="default" w:ascii="楷体_GB2312" w:hAnsi="宋体" w:eastAsia="楷体_GB2312" w:cs="宋体"/>
                <w:b/>
                <w:bCs/>
                <w:color w:val="000000"/>
                <w:kern w:val="0"/>
                <w:sz w:val="24"/>
                <w:lang w:val="en-US" w:eastAsia="zh-CN"/>
              </w:rPr>
            </w:pPr>
            <w:r>
              <w:rPr>
                <w:rFonts w:hint="eastAsia" w:ascii="楷体_GB2312" w:hAnsi="宋体" w:eastAsia="楷体_GB2312" w:cs="宋体"/>
                <w:b/>
                <w:bCs/>
                <w:color w:val="000000"/>
                <w:kern w:val="0"/>
                <w:sz w:val="24"/>
                <w:lang w:val="en-US" w:eastAsia="zh-CN"/>
              </w:rPr>
              <w:t>例外</w:t>
            </w:r>
          </w:p>
        </w:tc>
      </w:tr>
      <w:tr w14:paraId="6A0D85B2">
        <w:tblPrEx>
          <w:tblCellMar>
            <w:top w:w="0" w:type="dxa"/>
            <w:left w:w="108" w:type="dxa"/>
            <w:bottom w:w="0" w:type="dxa"/>
            <w:right w:w="108" w:type="dxa"/>
          </w:tblCellMar>
        </w:tblPrEx>
        <w:trPr>
          <w:trHeight w:val="90" w:hRule="atLeast"/>
        </w:trPr>
        <w:tc>
          <w:tcPr>
            <w:tcW w:w="12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EF9B5D">
            <w:pPr>
              <w:widowControl/>
              <w:jc w:val="center"/>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宁波市中级人民法院</w:t>
            </w:r>
          </w:p>
        </w:tc>
        <w:tc>
          <w:tcPr>
            <w:tcW w:w="24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E98758">
            <w:pPr>
              <w:widowControl/>
              <w:jc w:val="center"/>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《关于在全市法院全面推行失信被执行人信用修复激励机制破解执行难问题的实施方案》</w:t>
            </w:r>
          </w:p>
        </w:tc>
        <w:tc>
          <w:tcPr>
            <w:tcW w:w="22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40CA1A">
            <w:pPr>
              <w:widowControl/>
              <w:jc w:val="center"/>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 xml:space="preserve">被执行人有履行意愿，且同时满足： 1. 按规定时间到法院配合执行； 2. 遵守财产申报； 3. 遵守限制消费令； 4. 配合处置现有财产； 5. 有部分履行行为及明确履行计划。  </w:t>
            </w:r>
          </w:p>
        </w:tc>
        <w:tc>
          <w:tcPr>
            <w:tcW w:w="22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4D44DC">
            <w:pPr>
              <w:widowControl/>
              <w:jc w:val="center"/>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存在妨碍、抗拒执行或恶意规避执行等行为的，不得申请修复。</w:t>
            </w:r>
          </w:p>
        </w:tc>
      </w:tr>
      <w:tr w14:paraId="047FBFE3">
        <w:tblPrEx>
          <w:tblCellMar>
            <w:top w:w="0" w:type="dxa"/>
            <w:left w:w="108" w:type="dxa"/>
            <w:bottom w:w="0" w:type="dxa"/>
            <w:right w:w="108" w:type="dxa"/>
          </w:tblCellMar>
        </w:tblPrEx>
        <w:trPr>
          <w:trHeight w:val="729" w:hRule="atLeast"/>
        </w:trPr>
        <w:tc>
          <w:tcPr>
            <w:tcW w:w="12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C69D26">
            <w:pPr>
              <w:widowControl/>
              <w:jc w:val="both"/>
              <w:rPr>
                <w:rFonts w:hint="default"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杭州市中级人民法院</w:t>
            </w:r>
          </w:p>
        </w:tc>
        <w:tc>
          <w:tcPr>
            <w:tcW w:w="24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F1946C">
            <w:pPr>
              <w:widowControl/>
              <w:jc w:val="center"/>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《关于失信被执行人信用修复的实施细则 （试行）》</w:t>
            </w:r>
          </w:p>
        </w:tc>
        <w:tc>
          <w:tcPr>
            <w:tcW w:w="22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1A3C69">
            <w:pPr>
              <w:widowControl/>
              <w:jc w:val="center"/>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 xml:space="preserve">被执行人已履行义务、达成和解并履行完毕，或因终结本次执行程序、审判监督等法定情形需删除失信信息。  </w:t>
            </w:r>
          </w:p>
        </w:tc>
        <w:tc>
          <w:tcPr>
            <w:tcW w:w="22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930969">
            <w:pPr>
              <w:widowControl/>
              <w:jc w:val="center"/>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未明确特殊主体或情形的差异化规则，修复条件以“完全履行或法定程序”为主，对“部分履行+担保”等情形未作放宽。</w:t>
            </w:r>
          </w:p>
        </w:tc>
      </w:tr>
      <w:tr w14:paraId="79D06996">
        <w:tblPrEx>
          <w:tblCellMar>
            <w:top w:w="0" w:type="dxa"/>
            <w:left w:w="108" w:type="dxa"/>
            <w:bottom w:w="0" w:type="dxa"/>
            <w:right w:w="108" w:type="dxa"/>
          </w:tblCellMar>
        </w:tblPrEx>
        <w:trPr>
          <w:trHeight w:val="743" w:hRule="atLeast"/>
        </w:trPr>
        <w:tc>
          <w:tcPr>
            <w:tcW w:w="12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916464">
            <w:pPr>
              <w:widowControl/>
              <w:jc w:val="center"/>
              <w:rPr>
                <w:rFonts w:hint="default"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黄山市中级人民法院</w:t>
            </w:r>
          </w:p>
        </w:tc>
        <w:tc>
          <w:tcPr>
            <w:tcW w:w="24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B4A54B">
            <w:pPr>
              <w:widowControl/>
              <w:jc w:val="both"/>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《关于企业信用修复有关事项的公告》</w:t>
            </w:r>
          </w:p>
        </w:tc>
        <w:tc>
          <w:tcPr>
            <w:tcW w:w="22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D5D4DE">
            <w:pPr>
              <w:widowControl/>
              <w:jc w:val="both"/>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 xml:space="preserve"> 聚焦企业主体，要求企业已履行义务、纠正失信行为并作出信用承诺。 </w:t>
            </w:r>
          </w:p>
        </w:tc>
        <w:tc>
          <w:tcPr>
            <w:tcW w:w="22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7AB58D">
            <w:pPr>
              <w:widowControl/>
              <w:jc w:val="both"/>
              <w:rPr>
                <w:rFonts w:hint="eastAsia"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专属企业适用，完全排除自然人及其他主体，未涉及“校园贷学生”“公益机构”等特殊群体的修复规则。</w:t>
            </w:r>
          </w:p>
        </w:tc>
      </w:tr>
    </w:tbl>
    <w:p w14:paraId="152EC489">
      <w:pPr>
        <w:numPr>
          <w:ilvl w:val="0"/>
          <w:numId w:val="0"/>
        </w:numPr>
        <w:ind w:firstLine="600" w:firstLineChars="200"/>
        <w:rPr>
          <w:rFonts w:hint="default" w:ascii="仿宋" w:hAnsi="仿宋" w:eastAsia="仿宋" w:cs="仿宋"/>
          <w:sz w:val="30"/>
          <w:szCs w:val="30"/>
          <w:lang w:val="en-US" w:eastAsia="zh-CN"/>
        </w:rPr>
      </w:pPr>
      <w:r>
        <w:rPr>
          <w:rFonts w:hint="default" w:ascii="仿宋" w:hAnsi="仿宋" w:eastAsia="仿宋" w:cs="仿宋"/>
          <w:sz w:val="30"/>
          <w:szCs w:val="30"/>
          <w:lang w:val="en-US" w:eastAsia="zh-CN"/>
        </w:rPr>
        <w:t>通过上表可以看到，在允许适用信用修复的情形中，</w:t>
      </w:r>
      <w:r>
        <w:rPr>
          <w:rFonts w:hint="eastAsia" w:ascii="仿宋" w:hAnsi="仿宋" w:eastAsia="仿宋" w:cs="仿宋"/>
          <w:sz w:val="30"/>
          <w:szCs w:val="30"/>
          <w:lang w:val="en-US" w:eastAsia="zh-CN"/>
        </w:rPr>
        <w:t>五个不同省份</w:t>
      </w:r>
      <w:r>
        <w:rPr>
          <w:rFonts w:hint="default" w:ascii="仿宋" w:hAnsi="仿宋" w:eastAsia="仿宋" w:cs="仿宋"/>
          <w:sz w:val="30"/>
          <w:szCs w:val="30"/>
          <w:lang w:val="en-US" w:eastAsia="zh-CN"/>
        </w:rPr>
        <w:t>法院的规定</w:t>
      </w:r>
      <w:r>
        <w:rPr>
          <w:rFonts w:hint="eastAsia" w:ascii="仿宋" w:hAnsi="仿宋" w:eastAsia="仿宋" w:cs="仿宋"/>
          <w:sz w:val="30"/>
          <w:szCs w:val="30"/>
          <w:lang w:val="en-US" w:eastAsia="zh-CN"/>
        </w:rPr>
        <w:t>在适用时存在差异。黄山市中院仅针对企业，而宁波、杭州等法院覆盖自然人与法人，但未明确特殊群体；厦门中院虽涵盖全主体，但规则弹性较大。宁波、杭州强调“完全履行或严格程序”，江西、厦门对“部分履行+承诺”的包容性更强。多数法院未细化“不可抗力”“弱势群体”等特殊情形，仅通过原则性表述或排除条款间接体现，导致实践中标准不一。</w:t>
      </w:r>
      <w:r>
        <w:rPr>
          <w:rFonts w:hint="default" w:ascii="仿宋" w:hAnsi="仿宋" w:eastAsia="仿宋" w:cs="仿宋"/>
          <w:sz w:val="30"/>
          <w:szCs w:val="30"/>
          <w:lang w:val="en-US" w:eastAsia="zh-CN"/>
        </w:rPr>
        <w:t>在失信被执行人承诺按期履行执行和解协议成为被执行人的情况下，被执行人能否申请信用修复，不仅是关乎制度实践的问题，同样也是信用修复理论亟待解决的问题。</w:t>
      </w:r>
    </w:p>
    <w:p w14:paraId="04EA123C">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w:t>
      </w:r>
      <w:r>
        <w:rPr>
          <w:rFonts w:hint="default" w:ascii="仿宋" w:hAnsi="仿宋" w:eastAsia="仿宋" w:cs="仿宋"/>
          <w:sz w:val="30"/>
          <w:szCs w:val="30"/>
          <w:lang w:val="en-US" w:eastAsia="zh-CN"/>
        </w:rPr>
        <w:t>修复方式不一致</w:t>
      </w:r>
      <w:r>
        <w:rPr>
          <w:rFonts w:hint="eastAsia" w:ascii="仿宋" w:hAnsi="仿宋" w:eastAsia="仿宋" w:cs="仿宋"/>
          <w:sz w:val="30"/>
          <w:szCs w:val="30"/>
          <w:lang w:val="en-US" w:eastAsia="zh-CN"/>
        </w:rPr>
        <w:t>。</w:t>
      </w:r>
      <w:r>
        <w:rPr>
          <w:rFonts w:hint="default" w:ascii="仿宋" w:hAnsi="仿宋" w:eastAsia="仿宋" w:cs="仿宋"/>
          <w:sz w:val="30"/>
          <w:szCs w:val="30"/>
          <w:lang w:val="en-US" w:eastAsia="zh-CN"/>
        </w:rPr>
        <w:t>不同的修复方式决定了被执行人能在何种程度上摆脱失信惩戒措施对其带来的不利影响。</w:t>
      </w:r>
    </w:p>
    <w:p w14:paraId="3B0A9DBD">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表6：三个不同地区法院对修复情形的规定，用√代表有</w:t>
      </w:r>
    </w:p>
    <w:tbl>
      <w:tblPr>
        <w:tblStyle w:val="8"/>
        <w:tblW w:w="7893" w:type="dxa"/>
        <w:tblInd w:w="93" w:type="dxa"/>
        <w:tblLayout w:type="fixed"/>
        <w:tblCellMar>
          <w:top w:w="0" w:type="dxa"/>
          <w:left w:w="108" w:type="dxa"/>
          <w:bottom w:w="0" w:type="dxa"/>
          <w:right w:w="108" w:type="dxa"/>
        </w:tblCellMar>
      </w:tblPr>
      <w:tblGrid>
        <w:gridCol w:w="1762"/>
        <w:gridCol w:w="1407"/>
        <w:gridCol w:w="1189"/>
        <w:gridCol w:w="1288"/>
        <w:gridCol w:w="1167"/>
        <w:gridCol w:w="1080"/>
      </w:tblGrid>
      <w:tr w14:paraId="53F32325">
        <w:tblPrEx>
          <w:tblCellMar>
            <w:top w:w="0" w:type="dxa"/>
            <w:left w:w="108" w:type="dxa"/>
            <w:bottom w:w="0" w:type="dxa"/>
            <w:right w:w="108" w:type="dxa"/>
          </w:tblCellMar>
        </w:tblPrEx>
        <w:trPr>
          <w:trHeight w:val="687" w:hRule="atLeast"/>
        </w:trPr>
        <w:tc>
          <w:tcPr>
            <w:tcW w:w="1762" w:type="dxa"/>
            <w:vMerge w:val="restart"/>
            <w:tcBorders>
              <w:top w:val="single" w:color="auto" w:sz="4" w:space="0"/>
              <w:left w:val="single" w:color="auto" w:sz="4" w:space="0"/>
              <w:right w:val="single" w:color="auto" w:sz="4" w:space="0"/>
            </w:tcBorders>
            <w:shd w:val="clear" w:color="000000" w:fill="DDD9C4"/>
            <w:noWrap/>
            <w:vAlign w:val="center"/>
          </w:tcPr>
          <w:p w14:paraId="51D697A0">
            <w:pPr>
              <w:widowControl/>
              <w:jc w:val="center"/>
              <w:rPr>
                <w:rFonts w:hint="eastAsia" w:ascii="楷体_GB2312" w:hAnsi="宋体" w:eastAsia="楷体_GB2312" w:cs="宋体"/>
                <w:b/>
                <w:bCs/>
                <w:color w:val="000000"/>
                <w:kern w:val="0"/>
                <w:sz w:val="24"/>
                <w:lang w:val="en-US" w:eastAsia="zh-CN"/>
              </w:rPr>
            </w:pPr>
            <w:r>
              <w:rPr>
                <w:rFonts w:hint="eastAsia" w:ascii="楷体_GB2312" w:hAnsi="宋体" w:eastAsia="楷体_GB2312" w:cs="宋体"/>
                <w:b/>
                <w:bCs/>
                <w:color w:val="000000"/>
                <w:kern w:val="0"/>
                <w:sz w:val="24"/>
                <w:lang w:val="en-US" w:eastAsia="zh-CN"/>
              </w:rPr>
              <w:t>制定主体</w:t>
            </w:r>
          </w:p>
          <w:p w14:paraId="13A0311A">
            <w:pPr>
              <w:widowControl/>
              <w:jc w:val="center"/>
              <w:rPr>
                <w:rFonts w:hint="eastAsia" w:ascii="楷体" w:hAnsi="楷体" w:eastAsia="楷体" w:cs="楷体"/>
                <w:b w:val="0"/>
                <w:bCs w:val="0"/>
                <w:sz w:val="18"/>
                <w:szCs w:val="18"/>
                <w:lang w:val="en-US" w:eastAsia="zh-CN"/>
              </w:rPr>
            </w:pPr>
          </w:p>
        </w:tc>
        <w:tc>
          <w:tcPr>
            <w:tcW w:w="6131" w:type="dxa"/>
            <w:gridSpan w:val="5"/>
            <w:tcBorders>
              <w:top w:val="single" w:color="auto" w:sz="4" w:space="0"/>
              <w:left w:val="single" w:color="auto" w:sz="4" w:space="0"/>
              <w:bottom w:val="single" w:color="auto" w:sz="4" w:space="0"/>
              <w:right w:val="single" w:color="auto" w:sz="4" w:space="0"/>
            </w:tcBorders>
            <w:shd w:val="clear" w:color="000000" w:fill="DDD9C4"/>
            <w:noWrap/>
            <w:vAlign w:val="center"/>
          </w:tcPr>
          <w:p w14:paraId="6ABAA27A">
            <w:pPr>
              <w:widowControl/>
              <w:jc w:val="center"/>
              <w:rPr>
                <w:rFonts w:hint="eastAsia" w:ascii="楷体_GB2312" w:hAnsi="宋体" w:eastAsia="楷体_GB2312" w:cs="宋体"/>
                <w:b/>
                <w:bCs/>
                <w:color w:val="000000"/>
                <w:kern w:val="0"/>
                <w:sz w:val="24"/>
                <w:lang w:val="en-US" w:eastAsia="zh-CN"/>
              </w:rPr>
            </w:pPr>
            <w:r>
              <w:rPr>
                <w:rFonts w:hint="eastAsia" w:ascii="楷体_GB2312" w:hAnsi="宋体" w:eastAsia="楷体_GB2312" w:cs="宋体"/>
                <w:b/>
                <w:bCs/>
                <w:color w:val="000000"/>
                <w:kern w:val="0"/>
                <w:sz w:val="24"/>
                <w:lang w:val="en-US" w:eastAsia="zh-CN"/>
              </w:rPr>
              <w:t>修复的方式</w:t>
            </w:r>
          </w:p>
        </w:tc>
      </w:tr>
      <w:tr w14:paraId="3474D148">
        <w:tblPrEx>
          <w:tblCellMar>
            <w:top w:w="0" w:type="dxa"/>
            <w:left w:w="108" w:type="dxa"/>
            <w:bottom w:w="0" w:type="dxa"/>
            <w:right w:w="108" w:type="dxa"/>
          </w:tblCellMar>
        </w:tblPrEx>
        <w:trPr>
          <w:trHeight w:val="579" w:hRule="atLeast"/>
        </w:trPr>
        <w:tc>
          <w:tcPr>
            <w:tcW w:w="1762" w:type="dxa"/>
            <w:vMerge w:val="continue"/>
            <w:tcBorders>
              <w:left w:val="single" w:color="auto" w:sz="4" w:space="0"/>
              <w:bottom w:val="single" w:color="auto" w:sz="4" w:space="0"/>
              <w:right w:val="single" w:color="auto" w:sz="4" w:space="0"/>
            </w:tcBorders>
            <w:shd w:val="clear" w:color="auto" w:fill="auto"/>
            <w:noWrap/>
            <w:vAlign w:val="center"/>
          </w:tcPr>
          <w:p w14:paraId="60727073">
            <w:pPr>
              <w:widowControl/>
              <w:jc w:val="center"/>
              <w:rPr>
                <w:rFonts w:hint="eastAsia" w:ascii="楷体" w:hAnsi="楷体" w:eastAsia="楷体" w:cs="楷体"/>
                <w:b w:val="0"/>
                <w:bCs w:val="0"/>
                <w:sz w:val="18"/>
                <w:szCs w:val="18"/>
                <w:lang w:val="en-US" w:eastAsia="zh-CN"/>
              </w:rPr>
            </w:pPr>
          </w:p>
        </w:tc>
        <w:tc>
          <w:tcPr>
            <w:tcW w:w="14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D2059D">
            <w:pPr>
              <w:widowControl/>
              <w:jc w:val="center"/>
              <w:rPr>
                <w:rFonts w:hint="eastAsia" w:ascii="楷体" w:hAnsi="楷体" w:eastAsia="楷体" w:cs="楷体"/>
                <w:b w:val="0"/>
                <w:bCs w:val="0"/>
                <w:sz w:val="18"/>
                <w:szCs w:val="18"/>
                <w:lang w:val="en-US" w:eastAsia="zh-CN"/>
              </w:rPr>
            </w:pPr>
            <w:r>
              <w:rPr>
                <w:rFonts w:hint="eastAsia" w:ascii="楷体_GB2312" w:hAnsi="宋体" w:eastAsia="楷体_GB2312" w:cs="宋体"/>
                <w:b/>
                <w:bCs/>
                <w:color w:val="000000"/>
                <w:kern w:val="0"/>
                <w:sz w:val="24"/>
                <w:lang w:val="en-US" w:eastAsia="zh-CN"/>
              </w:rPr>
              <w:t>屏蔽</w:t>
            </w:r>
          </w:p>
        </w:tc>
        <w:tc>
          <w:tcPr>
            <w:tcW w:w="11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52A20A">
            <w:pPr>
              <w:widowControl/>
              <w:jc w:val="center"/>
              <w:rPr>
                <w:rFonts w:hint="eastAsia" w:ascii="楷体" w:hAnsi="楷体" w:eastAsia="楷体" w:cs="楷体"/>
                <w:b w:val="0"/>
                <w:bCs w:val="0"/>
                <w:sz w:val="18"/>
                <w:szCs w:val="18"/>
                <w:lang w:val="en-US" w:eastAsia="zh-CN"/>
              </w:rPr>
            </w:pPr>
            <w:r>
              <w:rPr>
                <w:rFonts w:hint="eastAsia" w:ascii="楷体_GB2312" w:hAnsi="宋体" w:eastAsia="楷体_GB2312" w:cs="宋体"/>
                <w:b/>
                <w:bCs/>
                <w:color w:val="000000"/>
                <w:kern w:val="0"/>
                <w:sz w:val="24"/>
                <w:lang w:val="en-US" w:eastAsia="zh-CN"/>
              </w:rPr>
              <w:t>删除</w:t>
            </w:r>
          </w:p>
        </w:tc>
        <w:tc>
          <w:tcPr>
            <w:tcW w:w="12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CE7D7E">
            <w:pPr>
              <w:widowControl/>
              <w:jc w:val="center"/>
              <w:rPr>
                <w:rFonts w:hint="eastAsia" w:ascii="楷体" w:hAnsi="楷体" w:eastAsia="楷体" w:cs="楷体"/>
                <w:b w:val="0"/>
                <w:bCs w:val="0"/>
                <w:sz w:val="18"/>
                <w:szCs w:val="18"/>
                <w:lang w:val="en-US" w:eastAsia="zh-CN"/>
              </w:rPr>
            </w:pPr>
            <w:r>
              <w:rPr>
                <w:rFonts w:hint="eastAsia" w:ascii="楷体_GB2312" w:hAnsi="宋体" w:eastAsia="楷体_GB2312" w:cs="宋体"/>
                <w:b/>
                <w:bCs/>
                <w:color w:val="000000"/>
                <w:kern w:val="0"/>
                <w:sz w:val="24"/>
                <w:lang w:val="en-US" w:eastAsia="zh-CN"/>
              </w:rPr>
              <w:t>撤销</w:t>
            </w:r>
          </w:p>
        </w:tc>
        <w:tc>
          <w:tcPr>
            <w:tcW w:w="11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3FACF7">
            <w:pPr>
              <w:widowControl/>
              <w:jc w:val="center"/>
              <w:rPr>
                <w:rFonts w:hint="eastAsia" w:ascii="楷体_GB2312" w:hAnsi="宋体" w:eastAsia="楷体_GB2312" w:cs="宋体"/>
                <w:b/>
                <w:bCs/>
                <w:color w:val="000000"/>
                <w:kern w:val="0"/>
                <w:sz w:val="24"/>
                <w:lang w:val="en-US" w:eastAsia="zh-CN"/>
              </w:rPr>
            </w:pPr>
            <w:r>
              <w:rPr>
                <w:rFonts w:hint="eastAsia" w:ascii="楷体_GB2312" w:hAnsi="宋体" w:eastAsia="楷体_GB2312" w:cs="宋体"/>
                <w:b/>
                <w:bCs/>
                <w:color w:val="000000"/>
                <w:kern w:val="0"/>
                <w:sz w:val="24"/>
                <w:lang w:val="en-US" w:eastAsia="zh-CN"/>
              </w:rPr>
              <w:t>纠正</w:t>
            </w: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7DC66E">
            <w:pPr>
              <w:widowControl/>
              <w:jc w:val="center"/>
              <w:rPr>
                <w:rFonts w:hint="eastAsia" w:ascii="楷体_GB2312" w:hAnsi="宋体" w:eastAsia="楷体_GB2312" w:cs="宋体"/>
                <w:b/>
                <w:bCs/>
                <w:color w:val="000000"/>
                <w:kern w:val="0"/>
                <w:sz w:val="24"/>
                <w:lang w:val="en-US" w:eastAsia="zh-CN"/>
              </w:rPr>
            </w:pPr>
            <w:r>
              <w:rPr>
                <w:rFonts w:hint="eastAsia" w:ascii="楷体_GB2312" w:hAnsi="宋体" w:eastAsia="楷体_GB2312" w:cs="宋体"/>
                <w:b/>
                <w:bCs/>
                <w:color w:val="000000"/>
                <w:kern w:val="0"/>
                <w:sz w:val="24"/>
                <w:lang w:val="en-US" w:eastAsia="zh-CN"/>
              </w:rPr>
              <w:t>缩短失信时限</w:t>
            </w:r>
          </w:p>
        </w:tc>
      </w:tr>
      <w:tr w14:paraId="67BA2224">
        <w:tblPrEx>
          <w:tblCellMar>
            <w:top w:w="0" w:type="dxa"/>
            <w:left w:w="108" w:type="dxa"/>
            <w:bottom w:w="0" w:type="dxa"/>
            <w:right w:w="108" w:type="dxa"/>
          </w:tblCellMar>
        </w:tblPrEx>
        <w:trPr>
          <w:trHeight w:val="675" w:hRule="atLeast"/>
        </w:trPr>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E6EFA9">
            <w:pPr>
              <w:widowControl/>
              <w:jc w:val="center"/>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江山市人民法院《关于信用修复有关事项的公告》</w:t>
            </w:r>
          </w:p>
        </w:tc>
        <w:tc>
          <w:tcPr>
            <w:tcW w:w="14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88B670">
            <w:pPr>
              <w:widowControl/>
              <w:jc w:val="center"/>
              <w:rPr>
                <w:rFonts w:hint="eastAsia" w:ascii="仿宋" w:hAnsi="仿宋" w:eastAsia="仿宋" w:cs="仿宋"/>
                <w:b/>
                <w:bCs/>
                <w:sz w:val="28"/>
                <w:szCs w:val="28"/>
                <w:lang w:val="en-US" w:eastAsia="zh-CN"/>
              </w:rPr>
            </w:pPr>
          </w:p>
        </w:tc>
        <w:tc>
          <w:tcPr>
            <w:tcW w:w="11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33B99F">
            <w:pPr>
              <w:widowControl/>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w:t>
            </w:r>
            <w:r>
              <w:rPr>
                <w:rFonts w:hint="eastAsia" w:ascii="楷体" w:hAnsi="楷体" w:eastAsia="楷体" w:cs="楷体"/>
                <w:b w:val="0"/>
                <w:bCs w:val="0"/>
                <w:sz w:val="18"/>
                <w:szCs w:val="18"/>
                <w:lang w:val="en-US" w:eastAsia="zh-CN"/>
              </w:rPr>
              <w:t xml:space="preserve"> </w:t>
            </w:r>
          </w:p>
        </w:tc>
        <w:tc>
          <w:tcPr>
            <w:tcW w:w="12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5A8454">
            <w:pPr>
              <w:widowControl/>
              <w:jc w:val="center"/>
              <w:rPr>
                <w:rFonts w:hint="eastAsia" w:ascii="楷体" w:hAnsi="楷体" w:eastAsia="楷体" w:cs="楷体"/>
                <w:b w:val="0"/>
                <w:bCs w:val="0"/>
                <w:sz w:val="18"/>
                <w:szCs w:val="18"/>
                <w:lang w:val="en-US" w:eastAsia="zh-CN"/>
              </w:rPr>
            </w:pPr>
            <w:r>
              <w:rPr>
                <w:rFonts w:hint="eastAsia" w:ascii="仿宋" w:hAnsi="仿宋" w:eastAsia="仿宋" w:cs="仿宋"/>
                <w:b/>
                <w:bCs/>
                <w:sz w:val="28"/>
                <w:szCs w:val="28"/>
                <w:lang w:val="en-US" w:eastAsia="zh-CN"/>
              </w:rPr>
              <w:t>√</w:t>
            </w:r>
            <w:r>
              <w:rPr>
                <w:rFonts w:hint="eastAsia" w:ascii="楷体" w:hAnsi="楷体" w:eastAsia="楷体" w:cs="楷体"/>
                <w:b w:val="0"/>
                <w:bCs w:val="0"/>
                <w:sz w:val="18"/>
                <w:szCs w:val="18"/>
                <w:lang w:val="en-US" w:eastAsia="zh-CN"/>
              </w:rPr>
              <w:t xml:space="preserve"> </w:t>
            </w:r>
          </w:p>
        </w:tc>
        <w:tc>
          <w:tcPr>
            <w:tcW w:w="11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762ADA">
            <w:pPr>
              <w:widowControl/>
              <w:jc w:val="center"/>
              <w:rPr>
                <w:rFonts w:hint="eastAsia" w:ascii="楷体" w:hAnsi="楷体" w:eastAsia="楷体" w:cs="楷体"/>
                <w:b w:val="0"/>
                <w:bCs w:val="0"/>
                <w:sz w:val="18"/>
                <w:szCs w:val="18"/>
                <w:lang w:val="en-US" w:eastAsia="zh-CN"/>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DABD7F">
            <w:pPr>
              <w:widowControl/>
              <w:jc w:val="center"/>
              <w:rPr>
                <w:rFonts w:hint="eastAsia" w:ascii="仿宋" w:hAnsi="仿宋" w:eastAsia="仿宋" w:cs="仿宋"/>
                <w:b/>
                <w:bCs/>
                <w:sz w:val="28"/>
                <w:szCs w:val="28"/>
                <w:lang w:val="en-US" w:eastAsia="zh-CN"/>
              </w:rPr>
            </w:pPr>
          </w:p>
        </w:tc>
      </w:tr>
      <w:tr w14:paraId="6DED786B">
        <w:tblPrEx>
          <w:tblCellMar>
            <w:top w:w="0" w:type="dxa"/>
            <w:left w:w="108" w:type="dxa"/>
            <w:bottom w:w="0" w:type="dxa"/>
            <w:right w:w="108" w:type="dxa"/>
          </w:tblCellMar>
        </w:tblPrEx>
        <w:trPr>
          <w:trHeight w:val="675" w:hRule="atLeast"/>
        </w:trPr>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DB8319">
            <w:pPr>
              <w:widowControl/>
              <w:jc w:val="center"/>
              <w:rPr>
                <w:rFonts w:hint="default"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武涉县人民法院《构建失信被执行人信用修复机制的实施意见》</w:t>
            </w:r>
          </w:p>
        </w:tc>
        <w:tc>
          <w:tcPr>
            <w:tcW w:w="14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D9A7E8">
            <w:pPr>
              <w:widowControl/>
              <w:jc w:val="center"/>
              <w:rPr>
                <w:rFonts w:hint="eastAsia" w:ascii="楷体" w:hAnsi="楷体" w:eastAsia="楷体" w:cs="楷体"/>
                <w:b w:val="0"/>
                <w:bCs w:val="0"/>
                <w:color w:val="auto"/>
                <w:sz w:val="18"/>
                <w:szCs w:val="18"/>
                <w:lang w:val="en-US" w:eastAsia="zh-CN"/>
              </w:rPr>
            </w:pPr>
            <w:r>
              <w:rPr>
                <w:rFonts w:hint="eastAsia" w:ascii="仿宋" w:hAnsi="仿宋" w:eastAsia="仿宋" w:cs="仿宋"/>
                <w:b/>
                <w:bCs/>
                <w:color w:val="auto"/>
                <w:sz w:val="28"/>
                <w:szCs w:val="28"/>
                <w:lang w:val="en-US" w:eastAsia="zh-CN"/>
              </w:rPr>
              <w:t>√</w:t>
            </w:r>
          </w:p>
        </w:tc>
        <w:tc>
          <w:tcPr>
            <w:tcW w:w="11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894C50">
            <w:pPr>
              <w:widowControl/>
              <w:jc w:val="center"/>
              <w:rPr>
                <w:rFonts w:hint="eastAsia" w:ascii="楷体" w:hAnsi="楷体" w:eastAsia="楷体" w:cs="楷体"/>
                <w:b w:val="0"/>
                <w:bCs w:val="0"/>
                <w:color w:val="auto"/>
                <w:sz w:val="18"/>
                <w:szCs w:val="18"/>
                <w:lang w:val="en-US" w:eastAsia="zh-CN"/>
              </w:rPr>
            </w:pPr>
            <w:r>
              <w:rPr>
                <w:rFonts w:hint="eastAsia" w:ascii="仿宋" w:hAnsi="仿宋" w:eastAsia="仿宋" w:cs="仿宋"/>
                <w:b/>
                <w:bCs/>
                <w:color w:val="auto"/>
                <w:sz w:val="28"/>
                <w:szCs w:val="28"/>
                <w:lang w:val="en-US" w:eastAsia="zh-CN"/>
              </w:rPr>
              <w:t>√</w:t>
            </w:r>
            <w:r>
              <w:rPr>
                <w:rFonts w:hint="eastAsia" w:ascii="楷体" w:hAnsi="楷体" w:eastAsia="楷体" w:cs="楷体"/>
                <w:b w:val="0"/>
                <w:bCs w:val="0"/>
                <w:color w:val="auto"/>
                <w:sz w:val="18"/>
                <w:szCs w:val="18"/>
                <w:lang w:val="en-US" w:eastAsia="zh-CN"/>
              </w:rPr>
              <w:t xml:space="preserve"> </w:t>
            </w:r>
          </w:p>
        </w:tc>
        <w:tc>
          <w:tcPr>
            <w:tcW w:w="12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792AFD">
            <w:pPr>
              <w:widowControl/>
              <w:jc w:val="center"/>
              <w:rPr>
                <w:rFonts w:hint="eastAsia" w:ascii="楷体" w:hAnsi="楷体" w:eastAsia="楷体" w:cs="楷体"/>
                <w:b w:val="0"/>
                <w:bCs w:val="0"/>
                <w:color w:val="auto"/>
                <w:sz w:val="18"/>
                <w:szCs w:val="18"/>
                <w:lang w:val="en-US" w:eastAsia="zh-CN"/>
              </w:rPr>
            </w:pPr>
          </w:p>
        </w:tc>
        <w:tc>
          <w:tcPr>
            <w:tcW w:w="11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F57D6F">
            <w:pPr>
              <w:widowControl/>
              <w:jc w:val="center"/>
              <w:rPr>
                <w:rFonts w:hint="eastAsia" w:ascii="楷体" w:hAnsi="楷体" w:eastAsia="楷体" w:cs="楷体"/>
                <w:b w:val="0"/>
                <w:bCs w:val="0"/>
                <w:color w:val="auto"/>
                <w:sz w:val="18"/>
                <w:szCs w:val="18"/>
                <w:lang w:val="en-US" w:eastAsia="zh-CN"/>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D22FB8">
            <w:pPr>
              <w:widowControl/>
              <w:jc w:val="center"/>
              <w:rPr>
                <w:rFonts w:hint="eastAsia" w:ascii="楷体" w:hAnsi="楷体" w:eastAsia="楷体" w:cs="楷体"/>
                <w:b w:val="0"/>
                <w:bCs w:val="0"/>
                <w:color w:val="auto"/>
                <w:sz w:val="18"/>
                <w:szCs w:val="18"/>
                <w:lang w:val="en-US" w:eastAsia="zh-CN"/>
              </w:rPr>
            </w:pPr>
            <w:r>
              <w:rPr>
                <w:rFonts w:hint="eastAsia" w:ascii="仿宋" w:hAnsi="仿宋" w:eastAsia="仿宋" w:cs="仿宋"/>
                <w:b/>
                <w:bCs/>
                <w:color w:val="auto"/>
                <w:sz w:val="28"/>
                <w:szCs w:val="28"/>
                <w:lang w:val="en-US" w:eastAsia="zh-CN"/>
              </w:rPr>
              <w:t>√</w:t>
            </w:r>
          </w:p>
        </w:tc>
      </w:tr>
      <w:tr w14:paraId="4264E6A0">
        <w:tblPrEx>
          <w:tblCellMar>
            <w:top w:w="0" w:type="dxa"/>
            <w:left w:w="108" w:type="dxa"/>
            <w:bottom w:w="0" w:type="dxa"/>
            <w:right w:w="108" w:type="dxa"/>
          </w:tblCellMar>
        </w:tblPrEx>
        <w:trPr>
          <w:trHeight w:val="675" w:hRule="atLeast"/>
        </w:trPr>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7BC1AD">
            <w:pPr>
              <w:widowControl/>
              <w:jc w:val="center"/>
              <w:rPr>
                <w:rFonts w:hint="default" w:ascii="楷体" w:hAnsi="楷体" w:eastAsia="楷体" w:cs="楷体"/>
                <w:b w:val="0"/>
                <w:bCs w:val="0"/>
                <w:color w:val="auto"/>
                <w:sz w:val="18"/>
                <w:szCs w:val="18"/>
                <w:lang w:val="en-US" w:eastAsia="zh-CN"/>
              </w:rPr>
            </w:pPr>
            <w:r>
              <w:rPr>
                <w:rFonts w:hint="eastAsia" w:ascii="楷体" w:hAnsi="楷体" w:eastAsia="楷体" w:cs="楷体"/>
                <w:b w:val="0"/>
                <w:bCs w:val="0"/>
                <w:color w:val="auto"/>
                <w:sz w:val="18"/>
                <w:szCs w:val="18"/>
                <w:lang w:val="en-US" w:eastAsia="zh-CN"/>
              </w:rPr>
              <w:t>洛阳市</w:t>
            </w:r>
            <w:r>
              <w:rPr>
                <w:rFonts w:hint="default" w:ascii="楷体" w:hAnsi="楷体" w:eastAsia="楷体" w:cs="楷体"/>
                <w:b w:val="0"/>
                <w:bCs w:val="0"/>
                <w:color w:val="auto"/>
                <w:sz w:val="18"/>
                <w:szCs w:val="18"/>
                <w:lang w:val="en-US" w:eastAsia="zh-CN"/>
              </w:rPr>
              <w:t>中级人民法院</w:t>
            </w:r>
            <w:r>
              <w:rPr>
                <w:rFonts w:hint="eastAsia" w:ascii="楷体" w:hAnsi="楷体" w:eastAsia="楷体" w:cs="楷体"/>
                <w:b w:val="0"/>
                <w:bCs w:val="0"/>
                <w:color w:val="auto"/>
                <w:sz w:val="18"/>
                <w:szCs w:val="18"/>
                <w:lang w:val="en-US" w:eastAsia="zh-CN"/>
              </w:rPr>
              <w:t>《失信被执行人信用修复实施细则》</w:t>
            </w:r>
          </w:p>
        </w:tc>
        <w:tc>
          <w:tcPr>
            <w:tcW w:w="14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BAA890">
            <w:pPr>
              <w:widowControl/>
              <w:jc w:val="center"/>
              <w:rPr>
                <w:rFonts w:hint="eastAsia" w:ascii="楷体" w:hAnsi="楷体" w:eastAsia="楷体" w:cs="楷体"/>
                <w:b w:val="0"/>
                <w:bCs w:val="0"/>
                <w:color w:val="auto"/>
                <w:sz w:val="18"/>
                <w:szCs w:val="18"/>
                <w:lang w:val="en-US" w:eastAsia="zh-CN"/>
              </w:rPr>
            </w:pPr>
            <w:r>
              <w:rPr>
                <w:rFonts w:hint="eastAsia" w:ascii="仿宋" w:hAnsi="仿宋" w:eastAsia="仿宋" w:cs="仿宋"/>
                <w:b/>
                <w:bCs/>
                <w:color w:val="auto"/>
                <w:sz w:val="28"/>
                <w:szCs w:val="28"/>
                <w:lang w:val="en-US" w:eastAsia="zh-CN"/>
              </w:rPr>
              <w:t>√</w:t>
            </w:r>
          </w:p>
        </w:tc>
        <w:tc>
          <w:tcPr>
            <w:tcW w:w="11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F3BE09">
            <w:pPr>
              <w:widowControl/>
              <w:jc w:val="center"/>
              <w:rPr>
                <w:rFonts w:hint="eastAsia" w:ascii="楷体" w:hAnsi="楷体" w:eastAsia="楷体" w:cs="楷体"/>
                <w:b w:val="0"/>
                <w:bCs w:val="0"/>
                <w:color w:val="auto"/>
                <w:sz w:val="18"/>
                <w:szCs w:val="18"/>
                <w:lang w:val="en-US" w:eastAsia="zh-CN"/>
              </w:rPr>
            </w:pPr>
          </w:p>
        </w:tc>
        <w:tc>
          <w:tcPr>
            <w:tcW w:w="12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BFE1D8">
            <w:pPr>
              <w:widowControl/>
              <w:jc w:val="center"/>
              <w:rPr>
                <w:rFonts w:hint="eastAsia" w:ascii="楷体" w:hAnsi="楷体" w:eastAsia="楷体" w:cs="楷体"/>
                <w:b w:val="0"/>
                <w:bCs w:val="0"/>
                <w:color w:val="auto"/>
                <w:sz w:val="18"/>
                <w:szCs w:val="18"/>
                <w:lang w:val="en-US" w:eastAsia="zh-CN"/>
              </w:rPr>
            </w:pPr>
          </w:p>
        </w:tc>
        <w:tc>
          <w:tcPr>
            <w:tcW w:w="11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BB4595">
            <w:pPr>
              <w:widowControl/>
              <w:jc w:val="center"/>
              <w:rPr>
                <w:rFonts w:hint="eastAsia" w:ascii="楷体" w:hAnsi="楷体" w:eastAsia="楷体" w:cs="楷体"/>
                <w:b w:val="0"/>
                <w:bCs w:val="0"/>
                <w:color w:val="auto"/>
                <w:sz w:val="18"/>
                <w:szCs w:val="18"/>
                <w:lang w:val="en-US" w:eastAsia="zh-CN"/>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418F4B">
            <w:pPr>
              <w:widowControl/>
              <w:jc w:val="center"/>
              <w:rPr>
                <w:rFonts w:hint="eastAsia" w:ascii="楷体" w:hAnsi="楷体" w:eastAsia="楷体" w:cs="楷体"/>
                <w:b w:val="0"/>
                <w:bCs w:val="0"/>
                <w:color w:val="auto"/>
                <w:sz w:val="18"/>
                <w:szCs w:val="18"/>
                <w:lang w:val="en-US" w:eastAsia="zh-CN"/>
              </w:rPr>
            </w:pPr>
          </w:p>
        </w:tc>
      </w:tr>
      <w:tr w14:paraId="65B1D631">
        <w:tblPrEx>
          <w:tblCellMar>
            <w:top w:w="0" w:type="dxa"/>
            <w:left w:w="108" w:type="dxa"/>
            <w:bottom w:w="0" w:type="dxa"/>
            <w:right w:w="108" w:type="dxa"/>
          </w:tblCellMar>
        </w:tblPrEx>
        <w:trPr>
          <w:trHeight w:val="684" w:hRule="atLeast"/>
        </w:trPr>
        <w:tc>
          <w:tcPr>
            <w:tcW w:w="17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F8D9AF">
            <w:pPr>
              <w:widowControl/>
              <w:jc w:val="center"/>
              <w:rPr>
                <w:rFonts w:hint="eastAsia"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咸丰县人民法院</w:t>
            </w:r>
          </w:p>
          <w:p w14:paraId="7EB9C93C">
            <w:pPr>
              <w:widowControl/>
              <w:jc w:val="center"/>
              <w:rPr>
                <w:rFonts w:hint="default" w:ascii="楷体" w:hAnsi="楷体" w:eastAsia="楷体" w:cs="楷体"/>
                <w:b w:val="0"/>
                <w:bCs w:val="0"/>
                <w:sz w:val="18"/>
                <w:szCs w:val="18"/>
                <w:lang w:val="en-US" w:eastAsia="zh-CN"/>
              </w:rPr>
            </w:pPr>
            <w:r>
              <w:rPr>
                <w:rFonts w:hint="eastAsia" w:ascii="楷体" w:hAnsi="楷体" w:eastAsia="楷体" w:cs="楷体"/>
                <w:b w:val="0"/>
                <w:bCs w:val="0"/>
                <w:sz w:val="18"/>
                <w:szCs w:val="18"/>
                <w:lang w:val="en-US" w:eastAsia="zh-CN"/>
              </w:rPr>
              <w:t>《失信被执行人信用修复实施细则》</w:t>
            </w:r>
          </w:p>
        </w:tc>
        <w:tc>
          <w:tcPr>
            <w:tcW w:w="14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A6BEA3">
            <w:pPr>
              <w:widowControl/>
              <w:jc w:val="center"/>
              <w:rPr>
                <w:rFonts w:hint="eastAsia" w:ascii="楷体" w:hAnsi="楷体" w:eastAsia="楷体" w:cs="楷体"/>
                <w:b w:val="0"/>
                <w:bCs w:val="0"/>
                <w:sz w:val="18"/>
                <w:szCs w:val="18"/>
                <w:lang w:val="en-US" w:eastAsia="zh-CN"/>
              </w:rPr>
            </w:pPr>
            <w:r>
              <w:rPr>
                <w:rFonts w:hint="eastAsia" w:ascii="仿宋" w:hAnsi="仿宋" w:eastAsia="仿宋" w:cs="仿宋"/>
                <w:b/>
                <w:bCs/>
                <w:sz w:val="28"/>
                <w:szCs w:val="28"/>
                <w:lang w:val="en-US" w:eastAsia="zh-CN"/>
              </w:rPr>
              <w:t>√</w:t>
            </w:r>
          </w:p>
        </w:tc>
        <w:tc>
          <w:tcPr>
            <w:tcW w:w="11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A4BCF8">
            <w:pPr>
              <w:widowControl/>
              <w:jc w:val="center"/>
              <w:rPr>
                <w:rFonts w:hint="eastAsia" w:ascii="楷体" w:hAnsi="楷体" w:eastAsia="楷体" w:cs="楷体"/>
                <w:b w:val="0"/>
                <w:bCs w:val="0"/>
                <w:sz w:val="18"/>
                <w:szCs w:val="18"/>
                <w:lang w:val="en-US" w:eastAsia="zh-CN"/>
              </w:rPr>
            </w:pPr>
          </w:p>
        </w:tc>
        <w:tc>
          <w:tcPr>
            <w:tcW w:w="12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C6C224">
            <w:pPr>
              <w:widowControl/>
              <w:jc w:val="center"/>
              <w:rPr>
                <w:rFonts w:hint="eastAsia" w:ascii="楷体" w:hAnsi="楷体" w:eastAsia="楷体" w:cs="楷体"/>
                <w:b w:val="0"/>
                <w:bCs w:val="0"/>
                <w:sz w:val="18"/>
                <w:szCs w:val="18"/>
                <w:lang w:val="en-US" w:eastAsia="zh-CN"/>
              </w:rPr>
            </w:pPr>
          </w:p>
        </w:tc>
        <w:tc>
          <w:tcPr>
            <w:tcW w:w="11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B44BF6">
            <w:pPr>
              <w:widowControl/>
              <w:jc w:val="center"/>
              <w:rPr>
                <w:rFonts w:hint="eastAsia" w:ascii="楷体_GB2312" w:hAnsi="宋体" w:eastAsia="楷体_GB2312" w:cs="宋体"/>
                <w:b/>
                <w:bCs/>
                <w:color w:val="000000"/>
                <w:kern w:val="0"/>
                <w:sz w:val="24"/>
                <w:lang w:val="en-US" w:eastAsia="zh-CN"/>
              </w:rPr>
            </w:pP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05924D">
            <w:pPr>
              <w:widowControl/>
              <w:jc w:val="center"/>
              <w:rPr>
                <w:rFonts w:hint="eastAsia" w:ascii="楷体_GB2312" w:hAnsi="宋体" w:eastAsia="楷体_GB2312" w:cs="宋体"/>
                <w:b/>
                <w:bCs/>
                <w:color w:val="000000"/>
                <w:kern w:val="0"/>
                <w:sz w:val="24"/>
                <w:lang w:val="en-US" w:eastAsia="zh-CN"/>
              </w:rPr>
            </w:pPr>
            <w:r>
              <w:rPr>
                <w:rFonts w:hint="eastAsia" w:ascii="仿宋" w:hAnsi="仿宋" w:eastAsia="仿宋" w:cs="仿宋"/>
                <w:b/>
                <w:bCs/>
                <w:sz w:val="28"/>
                <w:szCs w:val="28"/>
                <w:lang w:val="en-US" w:eastAsia="zh-CN"/>
              </w:rPr>
              <w:t>√</w:t>
            </w:r>
          </w:p>
        </w:tc>
      </w:tr>
    </w:tbl>
    <w:p w14:paraId="6BF47DF4">
      <w:pPr>
        <w:numPr>
          <w:ilvl w:val="0"/>
          <w:numId w:val="0"/>
        </w:numPr>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从上表可以看出，样本的</w:t>
      </w:r>
      <w:r>
        <w:rPr>
          <w:rFonts w:hint="default" w:ascii="仿宋" w:hAnsi="仿宋" w:eastAsia="仿宋" w:cs="仿宋"/>
          <w:sz w:val="30"/>
          <w:szCs w:val="30"/>
          <w:lang w:val="en-US" w:eastAsia="zh-CN"/>
        </w:rPr>
        <w:t>规范性文件</w:t>
      </w:r>
      <w:r>
        <w:rPr>
          <w:rFonts w:hint="eastAsia" w:ascii="仿宋" w:hAnsi="仿宋" w:eastAsia="仿宋" w:cs="仿宋"/>
          <w:sz w:val="30"/>
          <w:szCs w:val="30"/>
          <w:lang w:val="en-US" w:eastAsia="zh-CN"/>
        </w:rPr>
        <w:t>大部分法院的信用修复的方式采用了最高院规范性文件中规定的修复可以总结为“屏蔽”顾名思义，经已经公开的信息进行隐藏，</w:t>
      </w:r>
      <w:r>
        <w:rPr>
          <w:rFonts w:hint="default" w:ascii="仿宋" w:hAnsi="仿宋" w:eastAsia="仿宋" w:cs="仿宋"/>
          <w:sz w:val="30"/>
          <w:szCs w:val="30"/>
          <w:lang w:val="en-US" w:eastAsia="zh-CN"/>
        </w:rPr>
        <w:t>失信信息被屏蔽后，其依然保存在失信名单中，只是不具有特殊权限的主体无法查询。与此相对，“删除”</w:t>
      </w:r>
      <w:r>
        <w:rPr>
          <w:rFonts w:hint="eastAsia" w:ascii="仿宋" w:hAnsi="仿宋" w:eastAsia="仿宋" w:cs="仿宋"/>
          <w:sz w:val="30"/>
          <w:szCs w:val="30"/>
          <w:lang w:val="en-US" w:eastAsia="zh-CN"/>
        </w:rPr>
        <w:t>是指</w:t>
      </w:r>
      <w:r>
        <w:rPr>
          <w:rFonts w:hint="default" w:ascii="仿宋" w:hAnsi="仿宋" w:eastAsia="仿宋" w:cs="仿宋"/>
          <w:sz w:val="30"/>
          <w:szCs w:val="30"/>
          <w:lang w:val="en-US" w:eastAsia="zh-CN"/>
        </w:rPr>
        <w:t>“删去”，</w:t>
      </w:r>
      <w:r>
        <w:rPr>
          <w:rFonts w:hint="eastAsia" w:ascii="仿宋" w:hAnsi="仿宋" w:eastAsia="仿宋" w:cs="仿宋"/>
          <w:sz w:val="30"/>
          <w:szCs w:val="30"/>
          <w:lang w:val="en-US" w:eastAsia="zh-CN"/>
        </w:rPr>
        <w:t>即</w:t>
      </w:r>
      <w:r>
        <w:rPr>
          <w:rFonts w:hint="default" w:ascii="仿宋" w:hAnsi="仿宋" w:eastAsia="仿宋" w:cs="仿宋"/>
          <w:sz w:val="30"/>
          <w:szCs w:val="30"/>
          <w:lang w:val="en-US" w:eastAsia="zh-CN"/>
        </w:rPr>
        <w:t>如果失信信息被删除，则表示其从数据库中消除，任何主体均无法再查询获知。“撤销”在《公布名单规定》第九条中的规定为：“不应纳入失信被执行人名单的公民、法人或其他组织被纳入失信被执行人名单的，人民法院应当在三个工作日内撤销失信信息。”</w:t>
      </w:r>
      <w:r>
        <w:rPr>
          <w:rFonts w:hint="eastAsia" w:ascii="仿宋" w:hAnsi="仿宋" w:eastAsia="仿宋" w:cs="仿宋"/>
          <w:sz w:val="30"/>
          <w:szCs w:val="30"/>
          <w:lang w:val="en-US" w:eastAsia="zh-CN"/>
        </w:rPr>
        <w:t>第十条明确了“纠正”的适用情形，将不应纳入失信被执行人名单的人纳入、记载信息不准确或失信信息应予删除的。</w:t>
      </w:r>
      <w:r>
        <w:rPr>
          <w:rFonts w:hint="default" w:ascii="仿宋" w:hAnsi="仿宋" w:eastAsia="仿宋" w:cs="仿宋"/>
          <w:sz w:val="30"/>
          <w:szCs w:val="30"/>
          <w:lang w:val="en-US" w:eastAsia="zh-CN"/>
        </w:rPr>
        <w:t>这表明，“撤销”</w:t>
      </w:r>
      <w:r>
        <w:rPr>
          <w:rFonts w:hint="eastAsia" w:ascii="仿宋" w:hAnsi="仿宋" w:eastAsia="仿宋" w:cs="仿宋"/>
          <w:sz w:val="30"/>
          <w:szCs w:val="30"/>
          <w:lang w:val="en-US" w:eastAsia="zh-CN"/>
        </w:rPr>
        <w:t>、“纠正”</w:t>
      </w:r>
      <w:r>
        <w:rPr>
          <w:rFonts w:hint="default" w:ascii="仿宋" w:hAnsi="仿宋" w:eastAsia="仿宋" w:cs="仿宋"/>
          <w:sz w:val="30"/>
          <w:szCs w:val="30"/>
          <w:lang w:val="en-US" w:eastAsia="zh-CN"/>
        </w:rPr>
        <w:t>与 “屏蔽”和“删除”不同，其并非是一般意义上的修复方式，而是针对法院将某些主体错误</w:t>
      </w:r>
      <w:r>
        <w:rPr>
          <w:rFonts w:hint="eastAsia" w:ascii="仿宋" w:hAnsi="仿宋" w:eastAsia="仿宋" w:cs="仿宋"/>
          <w:sz w:val="30"/>
          <w:szCs w:val="30"/>
          <w:lang w:val="en-US" w:eastAsia="zh-CN"/>
        </w:rPr>
        <w:t>或者信息不准确</w:t>
      </w:r>
      <w:r>
        <w:rPr>
          <w:rFonts w:hint="default" w:ascii="仿宋" w:hAnsi="仿宋" w:eastAsia="仿宋" w:cs="仿宋"/>
          <w:sz w:val="30"/>
          <w:szCs w:val="30"/>
          <w:lang w:val="en-US" w:eastAsia="zh-CN"/>
        </w:rPr>
        <w:t>纳入失信被执行人名单行为的纠正措施。目前失信被执行人信用修复制度的修复方式方面最主要问题是对于不同修复方式含义的规定较为混乱。以“屏蔽”和“删除”的修复方式为例，上表中</w:t>
      </w:r>
      <w:r>
        <w:rPr>
          <w:rFonts w:hint="eastAsia" w:ascii="仿宋" w:hAnsi="仿宋" w:eastAsia="仿宋" w:cs="仿宋"/>
          <w:sz w:val="30"/>
          <w:szCs w:val="30"/>
          <w:lang w:val="en-US" w:eastAsia="zh-CN"/>
        </w:rPr>
        <w:t>四</w:t>
      </w:r>
      <w:r>
        <w:rPr>
          <w:rFonts w:hint="default" w:ascii="仿宋" w:hAnsi="仿宋" w:eastAsia="仿宋" w:cs="仿宋"/>
          <w:sz w:val="30"/>
          <w:szCs w:val="30"/>
          <w:lang w:val="en-US" w:eastAsia="zh-CN"/>
        </w:rPr>
        <w:t>个省份的规定各不相同。</w:t>
      </w:r>
      <w:r>
        <w:rPr>
          <w:rFonts w:hint="eastAsia" w:ascii="仿宋" w:hAnsi="仿宋" w:eastAsia="仿宋" w:cs="仿宋"/>
          <w:sz w:val="30"/>
          <w:szCs w:val="30"/>
          <w:lang w:val="en-US" w:eastAsia="zh-CN"/>
        </w:rPr>
        <w:t>洛阳市中级人民法院、武涉县人民法院明确</w:t>
      </w:r>
      <w:r>
        <w:rPr>
          <w:rFonts w:hint="default" w:ascii="仿宋" w:hAnsi="仿宋" w:eastAsia="仿宋" w:cs="仿宋"/>
          <w:sz w:val="30"/>
          <w:szCs w:val="30"/>
          <w:lang w:val="en-US" w:eastAsia="zh-CN"/>
        </w:rPr>
        <w:t>“屏蔽”作为一种修复方式进行规定，修复后若再次失信将重新纳入名单。</w:t>
      </w:r>
      <w:r>
        <w:rPr>
          <w:rFonts w:hint="eastAsia" w:ascii="仿宋" w:hAnsi="仿宋" w:eastAsia="仿宋" w:cs="仿宋"/>
          <w:sz w:val="30"/>
          <w:szCs w:val="30"/>
          <w:lang w:val="en-US" w:eastAsia="zh-CN"/>
        </w:rPr>
        <w:t>咸丰县人民法院，</w:t>
      </w:r>
      <w:r>
        <w:rPr>
          <w:rFonts w:hint="default" w:ascii="仿宋" w:hAnsi="仿宋" w:eastAsia="仿宋" w:cs="仿宋"/>
          <w:sz w:val="30"/>
          <w:szCs w:val="30"/>
          <w:lang w:val="en-US" w:eastAsia="zh-CN"/>
        </w:rPr>
        <w:t>失信被执行人信用修复完成后， 由人民法院“</w:t>
      </w:r>
      <w:r>
        <w:rPr>
          <w:rFonts w:hint="eastAsia" w:ascii="仿宋" w:hAnsi="仿宋" w:eastAsia="仿宋" w:cs="仿宋"/>
          <w:sz w:val="30"/>
          <w:szCs w:val="30"/>
          <w:lang w:val="en-US" w:eastAsia="zh-CN"/>
        </w:rPr>
        <w:t>屏蔽、缩短失信时限和解除限制消费</w:t>
      </w:r>
      <w:r>
        <w:rPr>
          <w:rFonts w:hint="default" w:ascii="仿宋" w:hAnsi="仿宋" w:eastAsia="仿宋" w:cs="仿宋"/>
          <w:sz w:val="30"/>
          <w:szCs w:val="30"/>
          <w:lang w:val="en-US" w:eastAsia="zh-CN"/>
        </w:rPr>
        <w:t>”。上目前实践中对于不同修复方式之间的界限并不明晰，这可能导致同种失信行为在信用修复后受到不同的处理，有损信用修复制度的统一性和权威性。</w:t>
      </w:r>
      <w:r>
        <w:rPr>
          <w:rStyle w:val="12"/>
          <w:rFonts w:hint="default" w:ascii="仿宋" w:hAnsi="仿宋" w:eastAsia="仿宋" w:cs="仿宋"/>
          <w:sz w:val="30"/>
          <w:szCs w:val="30"/>
          <w:lang w:val="en-US" w:eastAsia="zh-CN"/>
        </w:rPr>
        <w:footnoteReference w:id="6"/>
      </w:r>
    </w:p>
    <w:p w14:paraId="2C64A7EB">
      <w:pPr>
        <w:numPr>
          <w:ilvl w:val="0"/>
          <w:numId w:val="0"/>
        </w:numPr>
        <w:ind w:firstLine="600" w:firstLineChars="200"/>
        <w:rPr>
          <w:rFonts w:hint="default" w:ascii="楷体" w:hAnsi="楷体" w:eastAsia="楷体" w:cs="Times New Roman"/>
          <w:bCs/>
          <w:sz w:val="30"/>
          <w:szCs w:val="30"/>
          <w:lang w:val="en-US" w:eastAsia="zh-CN"/>
        </w:rPr>
      </w:pPr>
      <w:r>
        <w:rPr>
          <w:rFonts w:hint="eastAsia" w:ascii="楷体" w:hAnsi="楷体" w:eastAsia="楷体" w:cs="Times New Roman"/>
          <w:bCs/>
          <w:sz w:val="30"/>
          <w:szCs w:val="30"/>
          <w:lang w:val="en-US" w:eastAsia="zh-CN"/>
        </w:rPr>
        <w:t>（二）司法实践中信用修复制度困境</w:t>
      </w:r>
    </w:p>
    <w:p w14:paraId="6A99AAF1">
      <w:pPr>
        <w:numPr>
          <w:ilvl w:val="0"/>
          <w:numId w:val="0"/>
        </w:numPr>
        <w:ind w:firstLine="600" w:firstLineChars="200"/>
        <w:outlineLvl w:val="1"/>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1.信用惩戒“一刀切”现象凸显</w:t>
      </w:r>
    </w:p>
    <w:p w14:paraId="3C91F987">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在界定信用修复范围时标准不一，信用惩戒“一刀切”是影响信用修复的一个较为突出的问题。信用惩戒“一刀切”具体表现形式：信用惩戒范围简单粗暴，法院在界定信用惩戒范围时标准不统一，根据《最高人民法院关于公布失信被执行人名单信息的若干规定》中，依法应信用惩戒情形，片面强调非因主观故意造成的失信才可修复，完全不考虑失信行为人的主观状态，这样会弱化信用惩戒的权威，也会对部分失信全体产生困扰，影响信用纠错的积极性。</w:t>
      </w:r>
    </w:p>
    <w:p w14:paraId="6D72929A">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失信人主观状态判断标准在于履行能力的判断，履行能力的判断主要在于无履行能力和确有履行能力的判断。确无履行能力判断难，实践中，各地做法不一，要么是没有明确无履行能力判断标准，要么是明确了但规定不尽相同，或者是虽然明确了，但实际操作困难，如河南省规定由县级以上贫困证明可确定其无履行能力</w:t>
      </w:r>
      <w:r>
        <w:rPr>
          <w:rStyle w:val="12"/>
          <w:rFonts w:hint="eastAsia" w:ascii="仿宋" w:hAnsi="仿宋" w:eastAsia="仿宋" w:cs="仿宋"/>
          <w:sz w:val="30"/>
          <w:szCs w:val="30"/>
          <w:lang w:val="en-US" w:eastAsia="zh-CN"/>
        </w:rPr>
        <w:footnoteReference w:id="7"/>
      </w:r>
      <w:r>
        <w:rPr>
          <w:rFonts w:hint="eastAsia" w:ascii="仿宋" w:hAnsi="仿宋" w:eastAsia="仿宋" w:cs="仿宋"/>
          <w:sz w:val="30"/>
          <w:szCs w:val="30"/>
          <w:lang w:val="en-US" w:eastAsia="zh-CN"/>
        </w:rPr>
        <w:t>，但贫困证明存在开具难、易造假、核实难等问题，以至于贫困证明现实中存在被滥用，真伪难辨，可信度不高等问题，对于判断是否有履行能力参考价值不大。履行能力认定标准不一致，导致信用修复标准无法一致。</w:t>
      </w:r>
    </w:p>
    <w:p w14:paraId="46C0689B">
      <w:pPr>
        <w:numPr>
          <w:ilvl w:val="0"/>
          <w:numId w:val="0"/>
        </w:numPr>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事后监管弱化。有惩戒，其后才有修复。因此，司法实践中的信用修复制度均是在人民法院对被执行人采取失信惩戒措施后才由当事人申请或人民法院依职权启动的修复程序。且不论何种修复程序，均是以人民法院执行机构为主导开展的，这种“既做裁判又当运动员”，以双重身份审查失信主体信用修复工作，不仅不符合执行规范化工作的要求，亦容易滋生权力滥用、司法 腐败等问题，损害司法权威和司法公信力。</w:t>
      </w:r>
      <w:r>
        <w:rPr>
          <w:rStyle w:val="12"/>
          <w:rFonts w:hint="eastAsia" w:ascii="仿宋" w:hAnsi="仿宋" w:eastAsia="仿宋" w:cs="仿宋"/>
          <w:sz w:val="30"/>
          <w:szCs w:val="30"/>
          <w:lang w:val="en-US" w:eastAsia="zh-CN"/>
        </w:rPr>
        <w:footnoteReference w:id="8"/>
      </w:r>
      <w:r>
        <w:rPr>
          <w:rFonts w:hint="eastAsia" w:ascii="仿宋" w:hAnsi="仿宋" w:eastAsia="仿宋" w:cs="仿宋"/>
          <w:sz w:val="30"/>
          <w:szCs w:val="30"/>
          <w:lang w:val="en-US" w:eastAsia="zh-CN"/>
        </w:rPr>
        <w:t>以笔者所在法院的一起案件为例，中国农业银行诉程某金融借款纠纷一案，因程某未履行生效法律文书确定的义务，中国农业银行向法院申请强制执行，法院依据《公布失信名单规定》纳失情形，将程某纳入失信被执行人，执行过程中，申请人中国农民银行撤回了执行申请，法院以终结执行方式结案，依据《公布失信名单规定》第十条第七款规定，人民法院依法裁定终结执行的，人民法院应当在三个工作日内删除失信信息。</w:t>
      </w:r>
    </w:p>
    <w:p w14:paraId="26D3BA61">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3.信用修复缺乏可操作性。众所周知,查人找物是人民法院执行工作公认。首先,在法院执行案件中，部分失信被执行人本就不诚信,正好假借信用修复之名进行财产转移或者拖延执行等, 不但损害当事人的合法权益,而且不利于法院执行工作的开展。其次,大部分被执行人对信用修复缺乏了解,导致信用修复意识不强。相比信用惩戒而言,信用修复是社会公众非常陌生的一件事情。在信用修复实践中,信用修复机制只是在少数法院试行,致使大多数被执行人没有听说过“信用修复”, 即使听说过“信用修复”,但并不清楚具体修复流程,更不会主动积极在被纳入失信名单后采取措施修复信用。</w:t>
      </w:r>
      <w:r>
        <w:rPr>
          <w:rStyle w:val="12"/>
          <w:rFonts w:hint="eastAsia" w:ascii="仿宋" w:hAnsi="仿宋" w:eastAsia="仿宋" w:cs="仿宋"/>
          <w:sz w:val="30"/>
          <w:szCs w:val="30"/>
          <w:lang w:val="en-US" w:eastAsia="zh-CN"/>
        </w:rPr>
        <w:footnoteReference w:id="9"/>
      </w:r>
      <w:r>
        <w:rPr>
          <w:rFonts w:hint="eastAsia" w:ascii="仿宋" w:hAnsi="仿宋" w:eastAsia="仿宋" w:cs="仿宋"/>
          <w:sz w:val="30"/>
          <w:szCs w:val="30"/>
          <w:lang w:val="en-US" w:eastAsia="zh-CN"/>
        </w:rPr>
        <w:t>再次,信用修复的机会不大。当前,在法院执行案件中自动履行人民法院的被执行人比例非常小,大多数被执行人并不会主动配合法院执行工作,譬如有的被执行人转移、隐匿财产,有的被执行人下落不明等等,导致胜诉当事人的合法权益无法实现。为此,只能对被执行人纳入失信名单。考虑到大多数被执行人或因下落不明,或无履行法定义务的能力,导致难以进行修复信用。</w:t>
      </w:r>
    </w:p>
    <w:p w14:paraId="633AA4B9">
      <w:pPr>
        <w:numPr>
          <w:ilvl w:val="0"/>
          <w:numId w:val="0"/>
        </w:numPr>
        <w:ind w:firstLine="600" w:firstLineChars="200"/>
        <w:outlineLvl w:val="0"/>
        <w:rPr>
          <w:rFonts w:hint="default" w:ascii="黑体" w:hAnsi="黑体" w:eastAsia="黑体" w:cs="黑体"/>
          <w:sz w:val="30"/>
          <w:szCs w:val="30"/>
          <w:lang w:val="en-US" w:eastAsia="zh-CN"/>
        </w:rPr>
      </w:pPr>
      <w:r>
        <w:rPr>
          <w:rFonts w:hint="eastAsia" w:ascii="黑体" w:hAnsi="黑体" w:eastAsia="黑体" w:cs="黑体"/>
          <w:sz w:val="30"/>
          <w:szCs w:val="30"/>
          <w:lang w:val="en-US" w:eastAsia="zh-CN"/>
        </w:rPr>
        <w:t>三、信用修复制度的优化路径</w:t>
      </w:r>
    </w:p>
    <w:p w14:paraId="2D2C2F80">
      <w:pPr>
        <w:numPr>
          <w:ilvl w:val="0"/>
          <w:numId w:val="0"/>
        </w:numPr>
        <w:ind w:firstLine="600" w:firstLineChars="200"/>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信用记录就像经济活动的第二张“身份证”。个体或者企业一旦被纳入失信“黑名单”，其经营、消费、出行等方面均会受限。为了解决司法实践中发生的问题，需要对失信被执行人信用修复制度的适用对象、适用情形、修复方式、内部监管、救济途径进行完善，明确信用修复优化思路。</w:t>
      </w:r>
    </w:p>
    <w:p w14:paraId="71EB9A14">
      <w:pPr>
        <w:numPr>
          <w:ilvl w:val="0"/>
          <w:numId w:val="0"/>
        </w:numPr>
        <w:ind w:firstLine="600" w:firstLineChars="200"/>
        <w:rPr>
          <w:rFonts w:hint="default" w:ascii="楷体" w:hAnsi="楷体" w:eastAsia="楷体" w:cs="Times New Roman"/>
          <w:bCs/>
          <w:color w:val="auto"/>
          <w:sz w:val="30"/>
          <w:szCs w:val="30"/>
          <w:lang w:val="en-US" w:eastAsia="zh-CN"/>
        </w:rPr>
      </w:pPr>
      <w:r>
        <w:rPr>
          <w:rFonts w:hint="default" w:ascii="楷体" w:hAnsi="楷体" w:eastAsia="楷体" w:cs="Times New Roman"/>
          <w:bCs/>
          <w:color w:val="auto"/>
          <w:sz w:val="30"/>
          <w:szCs w:val="30"/>
          <w:lang w:val="en-US" w:eastAsia="zh-CN"/>
        </w:rPr>
        <w:t>（一）明确适用对象</w:t>
      </w:r>
    </w:p>
    <w:p w14:paraId="44BD9EA4">
      <w:pPr>
        <w:numPr>
          <w:ilvl w:val="0"/>
          <w:numId w:val="0"/>
        </w:numPr>
        <w:ind w:firstLine="600" w:firstLineChars="200"/>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信用修复制度适用哪些失信被执行人？</w:t>
      </w:r>
      <w:r>
        <w:rPr>
          <w:rFonts w:hint="default" w:ascii="仿宋" w:hAnsi="仿宋" w:eastAsia="仿宋" w:cs="仿宋"/>
          <w:color w:val="auto"/>
          <w:sz w:val="30"/>
          <w:szCs w:val="30"/>
          <w:lang w:val="en-US" w:eastAsia="zh-CN"/>
        </w:rPr>
        <w:t>解决这一问题的关键在于确定失信被执行人信用修复的概念。</w:t>
      </w:r>
    </w:p>
    <w:p w14:paraId="5D295CDF">
      <w:pPr>
        <w:numPr>
          <w:ilvl w:val="0"/>
          <w:numId w:val="0"/>
        </w:numPr>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1.厘定失信主体的法定边界</w:t>
      </w:r>
    </w:p>
    <w:p w14:paraId="31F0867A">
      <w:pPr>
        <w:numPr>
          <w:ilvl w:val="0"/>
          <w:numId w:val="0"/>
        </w:numPr>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对于信用修复的概念，众说纷纭，主要有几个观点：</w:t>
      </w:r>
    </w:p>
    <w:p w14:paraId="695E6583">
      <w:pPr>
        <w:numPr>
          <w:ilvl w:val="0"/>
          <w:numId w:val="0"/>
        </w:numPr>
        <w:ind w:firstLine="600" w:firstLineChars="200"/>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第一种观点：</w:t>
      </w:r>
      <w:r>
        <w:rPr>
          <w:rFonts w:hint="default" w:ascii="仿宋" w:hAnsi="仿宋" w:eastAsia="仿宋" w:cs="仿宋"/>
          <w:color w:val="auto"/>
          <w:sz w:val="30"/>
          <w:szCs w:val="30"/>
          <w:lang w:val="en-US" w:eastAsia="zh-CN"/>
        </w:rPr>
        <w:t>信用修复</w:t>
      </w:r>
      <w:r>
        <w:rPr>
          <w:rFonts w:hint="eastAsia" w:ascii="仿宋" w:hAnsi="仿宋" w:eastAsia="仿宋" w:cs="仿宋"/>
          <w:color w:val="auto"/>
          <w:sz w:val="30"/>
          <w:szCs w:val="30"/>
          <w:lang w:val="en-US" w:eastAsia="zh-CN"/>
        </w:rPr>
        <w:t>指</w:t>
      </w:r>
      <w:r>
        <w:rPr>
          <w:rFonts w:hint="default" w:ascii="仿宋" w:hAnsi="仿宋" w:eastAsia="仿宋" w:cs="仿宋"/>
          <w:color w:val="auto"/>
          <w:sz w:val="30"/>
          <w:szCs w:val="30"/>
          <w:lang w:val="en-US" w:eastAsia="zh-CN"/>
        </w:rPr>
        <w:t>已经纳入失信名单的被执行人在积极履行生效文书后向法院申请,经审核认为其主动履行的行为对社会有促进作用,再经法定程序后暂不进行信用惩戒,将其信息屏蔽、解除强制措施以及从失信名单中删除。</w:t>
      </w:r>
      <w:r>
        <w:rPr>
          <w:rStyle w:val="12"/>
          <w:rFonts w:hint="default" w:ascii="仿宋" w:hAnsi="仿宋" w:eastAsia="仿宋" w:cs="仿宋"/>
          <w:color w:val="auto"/>
          <w:sz w:val="30"/>
          <w:szCs w:val="30"/>
          <w:lang w:val="en-US" w:eastAsia="zh-CN"/>
        </w:rPr>
        <w:footnoteReference w:id="10"/>
      </w:r>
      <w:r>
        <w:rPr>
          <w:rFonts w:hint="eastAsia" w:ascii="仿宋" w:hAnsi="仿宋" w:eastAsia="仿宋" w:cs="仿宋"/>
          <w:color w:val="auto"/>
          <w:sz w:val="30"/>
          <w:szCs w:val="30"/>
          <w:lang w:val="en-US" w:eastAsia="zh-CN"/>
        </w:rPr>
        <w:t>第二种观点认为</w:t>
      </w:r>
      <w:r>
        <w:rPr>
          <w:rFonts w:hint="default" w:ascii="仿宋" w:hAnsi="仿宋" w:eastAsia="仿宋" w:cs="仿宋"/>
          <w:color w:val="auto"/>
          <w:sz w:val="30"/>
          <w:szCs w:val="30"/>
          <w:lang w:val="en-US" w:eastAsia="zh-CN"/>
        </w:rPr>
        <w:t>,被执行人信用修复机制指被执行人因自身失信行为将会被法院纳入失信名单或已经纳入, 只要被执行人能够积极履行法定义务,就可以依据法定理由向法院申请,法院经过合议之后,可以暂不对其采取信用处罚措施。</w:t>
      </w:r>
      <w:r>
        <w:rPr>
          <w:rFonts w:hint="eastAsia" w:ascii="仿宋" w:hAnsi="仿宋" w:eastAsia="仿宋" w:cs="仿宋"/>
          <w:color w:val="auto"/>
          <w:sz w:val="30"/>
          <w:szCs w:val="30"/>
          <w:lang w:val="en-US" w:eastAsia="zh-CN"/>
        </w:rPr>
        <w:t>第三种观点表述更为简洁</w:t>
      </w:r>
      <w:r>
        <w:rPr>
          <w:rFonts w:hint="default" w:ascii="仿宋" w:hAnsi="仿宋" w:eastAsia="仿宋" w:cs="仿宋"/>
          <w:color w:val="auto"/>
          <w:sz w:val="30"/>
          <w:szCs w:val="30"/>
          <w:lang w:val="en-US" w:eastAsia="zh-CN"/>
        </w:rPr>
        <w:t>,信用修复是指对失信被执行人失信名单屏蔽、失信时限缩短和限消解除。</w:t>
      </w:r>
    </w:p>
    <w:p w14:paraId="61E9AC57">
      <w:pPr>
        <w:numPr>
          <w:ilvl w:val="0"/>
          <w:numId w:val="0"/>
        </w:numPr>
        <w:ind w:firstLine="600" w:firstLineChars="200"/>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而</w:t>
      </w:r>
      <w:r>
        <w:rPr>
          <w:rFonts w:hint="default" w:ascii="仿宋" w:hAnsi="仿宋" w:eastAsia="仿宋" w:cs="仿宋"/>
          <w:color w:val="auto"/>
          <w:sz w:val="30"/>
          <w:szCs w:val="30"/>
          <w:lang w:val="en-US" w:eastAsia="zh-CN"/>
        </w:rPr>
        <w:t>连维良介绍说，信用修复指的是失信主体在彻底纠正失信行为并承担相应法律责任的前提下，在接受诚信教育主动做出守信承诺并按规定履行相关社会责任的前提下，依法依规退出“黑名单”并相应解除失信联合惩戒，依法依规缩短或结束失信信息公示，依法依规规范保存信用记录的相关措施和过程。</w:t>
      </w:r>
      <w:r>
        <w:rPr>
          <w:rStyle w:val="12"/>
          <w:rFonts w:hint="default" w:ascii="仿宋" w:hAnsi="仿宋" w:eastAsia="仿宋" w:cs="仿宋"/>
          <w:color w:val="auto"/>
          <w:sz w:val="30"/>
          <w:szCs w:val="30"/>
          <w:lang w:val="en-US" w:eastAsia="zh-CN"/>
        </w:rPr>
        <w:footnoteReference w:id="11"/>
      </w:r>
      <w:r>
        <w:rPr>
          <w:rFonts w:hint="eastAsia" w:ascii="仿宋" w:hAnsi="仿宋" w:eastAsia="仿宋" w:cs="仿宋"/>
          <w:color w:val="auto"/>
          <w:sz w:val="30"/>
          <w:szCs w:val="30"/>
          <w:lang w:val="en-US" w:eastAsia="zh-CN"/>
        </w:rPr>
        <w:t>笔者赞同</w:t>
      </w:r>
      <w:r>
        <w:rPr>
          <w:rFonts w:hint="default" w:ascii="仿宋" w:hAnsi="仿宋" w:eastAsia="仿宋" w:cs="仿宋"/>
          <w:color w:val="auto"/>
          <w:sz w:val="30"/>
          <w:szCs w:val="30"/>
          <w:lang w:val="en-US" w:eastAsia="zh-CN"/>
        </w:rPr>
        <w:t>连维良</w:t>
      </w:r>
      <w:r>
        <w:rPr>
          <w:rFonts w:hint="eastAsia" w:ascii="仿宋" w:hAnsi="仿宋" w:eastAsia="仿宋" w:cs="仿宋"/>
          <w:color w:val="auto"/>
          <w:sz w:val="30"/>
          <w:szCs w:val="30"/>
          <w:lang w:val="en-US" w:eastAsia="zh-CN"/>
        </w:rPr>
        <w:t>观点，根据该观点笔者认为，</w:t>
      </w:r>
      <w:r>
        <w:rPr>
          <w:rFonts w:hint="default" w:ascii="仿宋" w:hAnsi="仿宋" w:eastAsia="仿宋" w:cs="仿宋"/>
          <w:color w:val="auto"/>
          <w:sz w:val="30"/>
          <w:szCs w:val="30"/>
          <w:lang w:val="en-US" w:eastAsia="zh-CN"/>
        </w:rPr>
        <w:t>信用修复产生的前提是信用主体受到信用惩戒导致其自身的信用评价状况降低，信用修复的最终结果是失信主体得以提前结束失信公示期并退出失信惩戒措施。</w:t>
      </w:r>
      <w:r>
        <w:rPr>
          <w:rFonts w:hint="eastAsia" w:ascii="仿宋" w:hAnsi="仿宋" w:eastAsia="仿宋" w:cs="仿宋"/>
          <w:color w:val="auto"/>
          <w:sz w:val="30"/>
          <w:szCs w:val="30"/>
          <w:lang w:val="en-US" w:eastAsia="zh-CN"/>
        </w:rPr>
        <w:t>信用修复不包括</w:t>
      </w:r>
      <w:r>
        <w:rPr>
          <w:rFonts w:hint="default" w:ascii="仿宋" w:hAnsi="仿宋" w:eastAsia="仿宋" w:cs="仿宋"/>
          <w:color w:val="auto"/>
          <w:sz w:val="30"/>
          <w:szCs w:val="30"/>
          <w:lang w:val="en-US" w:eastAsia="zh-CN"/>
        </w:rPr>
        <w:t>信用信息的更正与补充，</w:t>
      </w:r>
      <w:r>
        <w:rPr>
          <w:rFonts w:hint="eastAsia" w:ascii="仿宋" w:hAnsi="仿宋" w:eastAsia="仿宋" w:cs="仿宋"/>
          <w:color w:val="auto"/>
          <w:sz w:val="30"/>
          <w:szCs w:val="30"/>
          <w:lang w:val="en-US" w:eastAsia="zh-CN"/>
        </w:rPr>
        <w:t>因为其</w:t>
      </w:r>
      <w:r>
        <w:rPr>
          <w:rFonts w:hint="default" w:ascii="仿宋" w:hAnsi="仿宋" w:eastAsia="仿宋" w:cs="仿宋"/>
          <w:color w:val="auto"/>
          <w:sz w:val="30"/>
          <w:szCs w:val="30"/>
          <w:lang w:val="en-US" w:eastAsia="zh-CN"/>
        </w:rPr>
        <w:t>并非由于信用主体先前的失信行为所致，不属于</w:t>
      </w:r>
      <w:r>
        <w:rPr>
          <w:rFonts w:hint="eastAsia" w:ascii="仿宋" w:hAnsi="仿宋" w:eastAsia="仿宋" w:cs="仿宋"/>
          <w:color w:val="auto"/>
          <w:sz w:val="30"/>
          <w:szCs w:val="30"/>
          <w:lang w:val="en-US" w:eastAsia="zh-CN"/>
        </w:rPr>
        <w:t>信用修复的范畴</w:t>
      </w:r>
      <w:r>
        <w:rPr>
          <w:rFonts w:hint="default" w:ascii="仿宋" w:hAnsi="仿宋" w:eastAsia="仿宋" w:cs="仿宋"/>
          <w:color w:val="auto"/>
          <w:sz w:val="30"/>
          <w:szCs w:val="30"/>
          <w:lang w:val="en-US" w:eastAsia="zh-CN"/>
        </w:rPr>
        <w:t>。</w:t>
      </w:r>
      <w:r>
        <w:rPr>
          <w:rFonts w:hint="eastAsia" w:ascii="仿宋" w:hAnsi="仿宋" w:eastAsia="仿宋" w:cs="仿宋"/>
          <w:color w:val="auto"/>
          <w:sz w:val="30"/>
          <w:szCs w:val="30"/>
          <w:lang w:val="en-US" w:eastAsia="zh-CN"/>
        </w:rPr>
        <w:t>结合司法实践，</w:t>
      </w:r>
      <w:r>
        <w:rPr>
          <w:rFonts w:hint="default" w:ascii="仿宋" w:hAnsi="仿宋" w:eastAsia="仿宋" w:cs="仿宋"/>
          <w:color w:val="auto"/>
          <w:sz w:val="30"/>
          <w:szCs w:val="30"/>
          <w:lang w:val="en-US" w:eastAsia="zh-CN"/>
        </w:rPr>
        <w:t>以这一视角重新审视前述样本规范性文件，会发现失 信被执行人信用修复适用于已经被纳入失信被执行人名单的被执行人更为恰当。</w:t>
      </w:r>
      <w:r>
        <w:rPr>
          <w:rFonts w:hint="eastAsia" w:ascii="仿宋" w:hAnsi="仿宋" w:eastAsia="仿宋" w:cs="仿宋"/>
          <w:color w:val="auto"/>
          <w:sz w:val="30"/>
          <w:szCs w:val="30"/>
          <w:lang w:val="en-US" w:eastAsia="zh-CN"/>
        </w:rPr>
        <w:t>尚未纳入失信名单的被执行人</w:t>
      </w:r>
      <w:r>
        <w:rPr>
          <w:rFonts w:hint="default" w:ascii="仿宋" w:hAnsi="仿宋" w:eastAsia="仿宋" w:cs="仿宋"/>
          <w:color w:val="auto"/>
          <w:sz w:val="30"/>
          <w:szCs w:val="30"/>
          <w:lang w:val="en-US" w:eastAsia="zh-CN"/>
        </w:rPr>
        <w:t>信用状况尚未受到失信惩戒措施和失信被执行人名单的否定性评价，不存在修复的前提。</w:t>
      </w:r>
    </w:p>
    <w:p w14:paraId="2534DB36">
      <w:pPr>
        <w:numPr>
          <w:ilvl w:val="0"/>
          <w:numId w:val="0"/>
        </w:numPr>
        <w:ind w:firstLine="600" w:firstLineChars="200"/>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那么，我们需要明确一下失信主体。失信主体指的是</w:t>
      </w:r>
      <w:r>
        <w:rPr>
          <w:rFonts w:hint="default" w:ascii="仿宋" w:hAnsi="仿宋" w:eastAsia="仿宋" w:cs="仿宋"/>
          <w:color w:val="auto"/>
          <w:sz w:val="30"/>
          <w:szCs w:val="30"/>
          <w:lang w:val="en-US" w:eastAsia="zh-CN"/>
        </w:rPr>
        <w:t>“失信被执行人”</w:t>
      </w:r>
      <w:r>
        <w:rPr>
          <w:rFonts w:hint="eastAsia" w:ascii="仿宋" w:hAnsi="仿宋" w:eastAsia="仿宋" w:cs="仿宋"/>
          <w:color w:val="auto"/>
          <w:sz w:val="30"/>
          <w:szCs w:val="30"/>
          <w:lang w:val="en-US" w:eastAsia="zh-CN"/>
        </w:rPr>
        <w:t>，不是</w:t>
      </w:r>
      <w:r>
        <w:rPr>
          <w:rFonts w:hint="default" w:ascii="仿宋" w:hAnsi="仿宋" w:eastAsia="仿宋" w:cs="仿宋"/>
          <w:color w:val="auto"/>
          <w:sz w:val="30"/>
          <w:szCs w:val="30"/>
          <w:lang w:val="en-US" w:eastAsia="zh-CN"/>
        </w:rPr>
        <w:t>“被执行人”。只有当人民法院将被执行人纳入失信被执行人名单之后，该被执行人的身份才从“被执行人”转化为“失信被执行人”，才能受到失信惩戒。</w:t>
      </w:r>
      <w:r>
        <w:rPr>
          <w:rFonts w:hint="eastAsia" w:ascii="仿宋" w:hAnsi="仿宋" w:eastAsia="仿宋" w:cs="仿宋"/>
          <w:color w:val="auto"/>
          <w:sz w:val="30"/>
          <w:szCs w:val="30"/>
          <w:lang w:val="en-US" w:eastAsia="zh-CN"/>
        </w:rPr>
        <w:t>例如，企业因建设工程合同纠纷案被执行人，若法院尚未认定其“有履行能力而拒不履行”等失信情形，即便企业主动承诺还款，也只是信用承诺的行为，而不是信用修复。当企业被列入失信名单，后续须通过清偿债务、纠正失信行为申请恢复信用，才契合信用修复的制度范畴。</w:t>
      </w:r>
    </w:p>
    <w:p w14:paraId="3A3EB1CF">
      <w:pPr>
        <w:numPr>
          <w:ilvl w:val="0"/>
          <w:numId w:val="0"/>
        </w:numPr>
        <w:ind w:left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2.区分信用修复与承诺的本质差异</w:t>
      </w:r>
    </w:p>
    <w:p w14:paraId="3DF27BC6">
      <w:pPr>
        <w:numPr>
          <w:ilvl w:val="0"/>
          <w:numId w:val="0"/>
        </w:numPr>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明确信用修复适用对象，需要区分信用修复与承诺的本质差异。信用承诺是被执行人未进入失信名单前，为避免信用受损作出的积极履行意思表示，侧重 “事前预防”，目的是阻止失信状态发生；而信用修复是失信主体在承受信用惩戒后，通过一系列行为申请退出失信名单的 “事后补救”，核心是恢复已受损的信用</w:t>
      </w:r>
      <w:r>
        <w:rPr>
          <w:rStyle w:val="12"/>
          <w:rFonts w:hint="eastAsia" w:ascii="仿宋" w:hAnsi="仿宋" w:eastAsia="仿宋" w:cs="仿宋"/>
          <w:color w:val="auto"/>
          <w:sz w:val="30"/>
          <w:szCs w:val="30"/>
          <w:lang w:val="en-US" w:eastAsia="zh-CN"/>
        </w:rPr>
        <w:footnoteReference w:id="12"/>
      </w:r>
      <w:r>
        <w:rPr>
          <w:rFonts w:hint="eastAsia" w:ascii="仿宋" w:hAnsi="仿宋" w:eastAsia="仿宋" w:cs="仿宋"/>
          <w:color w:val="auto"/>
          <w:sz w:val="30"/>
          <w:szCs w:val="30"/>
          <w:lang w:val="en-US" w:eastAsia="zh-CN"/>
        </w:rPr>
        <w:t xml:space="preserve"> 。例如：以自然人借贷纠纷，若债务人在法院执行通知送达后，主动联系债权人达成还款计划，此时债务人未被纳入失信名单，其行为属于信用承诺，是争取免于失信的努力；若债务人已因逾期未还被列入失信名单，后续通过凑齐欠款、提交修复申请，法院审核后屏蔽其失信信息，则属于信用修复。二者在时间节点、行为目的、制度逻辑上截然不同。清晰区分这对概念，能精准识别信用修复的适用对象 —— 只有经历 “失信惩戒 - 主动修复” 流程的主体，才是制度服务对象，防止混淆导致修复程序滥用或遗漏 。</w:t>
      </w:r>
    </w:p>
    <w:p w14:paraId="37216340">
      <w:pPr>
        <w:numPr>
          <w:ilvl w:val="0"/>
          <w:numId w:val="2"/>
        </w:numPr>
        <w:ind w:firstLine="600" w:firstLineChars="200"/>
        <w:rPr>
          <w:rFonts w:hint="default" w:ascii="楷体" w:hAnsi="楷体" w:eastAsia="楷体" w:cs="Times New Roman"/>
          <w:bCs/>
          <w:color w:val="auto"/>
          <w:sz w:val="30"/>
          <w:szCs w:val="30"/>
          <w:lang w:val="en-US" w:eastAsia="zh-CN"/>
        </w:rPr>
      </w:pPr>
      <w:r>
        <w:rPr>
          <w:rFonts w:hint="default" w:ascii="楷体" w:hAnsi="楷体" w:eastAsia="楷体" w:cs="Times New Roman"/>
          <w:bCs/>
          <w:color w:val="auto"/>
          <w:sz w:val="30"/>
          <w:szCs w:val="30"/>
          <w:lang w:val="en-US" w:eastAsia="zh-CN"/>
        </w:rPr>
        <w:t>规范适用情形</w:t>
      </w:r>
    </w:p>
    <w:p w14:paraId="739462AA">
      <w:pPr>
        <w:numPr>
          <w:ilvl w:val="0"/>
          <w:numId w:val="0"/>
        </w:numPr>
        <w:ind w:firstLine="600" w:firstLineChars="200"/>
        <w:rPr>
          <w:rFonts w:hint="eastAsia" w:ascii="仿宋" w:hAnsi="仿宋" w:eastAsia="仿宋" w:cs="仿宋"/>
          <w:color w:val="4874CB" w:themeColor="accent1"/>
          <w:sz w:val="30"/>
          <w:szCs w:val="30"/>
          <w:lang w:val="en-US" w:eastAsia="zh-CN"/>
          <w14:textFill>
            <w14:solidFill>
              <w14:schemeClr w14:val="accent1"/>
            </w14:solidFill>
          </w14:textFill>
        </w:rPr>
      </w:pPr>
      <w:r>
        <w:rPr>
          <w:rFonts w:hint="eastAsia" w:ascii="仿宋" w:hAnsi="仿宋" w:eastAsia="仿宋" w:cs="仿宋"/>
          <w:color w:val="auto"/>
          <w:sz w:val="30"/>
          <w:szCs w:val="30"/>
          <w:lang w:val="en-US" w:eastAsia="zh-CN"/>
        </w:rPr>
        <w:t>1.积极履行全部义务型。“积极履行全部义务型”占据着基础性和核心地位。从内涵来讲，此类情形要求失信被执行人已经全部履行生效法律文书确定的义务。这种义务既包括金钱债务的全额清偿，如被执行人将欠款、违约金、律师费、交通费等全额支付给申请执行人，也涵盖非金钱义务的全面履行，像返还原物（车辆）案件中，被执行人需要按照规定将具备使用性能、零件完好的车辆返还申请执行人。在上述情况已经全部履行完毕的情况下，失信行为的“危害后果”才能真正解除，修复信用才有坚实的事实基础。从实践角度来讲，积极履行全部义务是失信被执行人重塑信用的根本前提。</w:t>
      </w:r>
      <w:r>
        <w:rPr>
          <w:rStyle w:val="12"/>
          <w:rFonts w:hint="eastAsia" w:ascii="仿宋" w:hAnsi="仿宋" w:eastAsia="仿宋" w:cs="仿宋"/>
          <w:color w:val="auto"/>
          <w:sz w:val="30"/>
          <w:szCs w:val="30"/>
          <w:lang w:val="en-US" w:eastAsia="zh-CN"/>
        </w:rPr>
        <w:footnoteReference w:id="13"/>
      </w:r>
      <w:r>
        <w:rPr>
          <w:rFonts w:hint="eastAsia" w:ascii="仿宋" w:hAnsi="仿宋" w:eastAsia="仿宋" w:cs="仿宋"/>
          <w:color w:val="auto"/>
          <w:sz w:val="30"/>
          <w:szCs w:val="30"/>
          <w:lang w:val="en-US" w:eastAsia="zh-CN"/>
        </w:rPr>
        <w:t>当其履行生效文书确定的义务后，申请执行人的权益得到了保障，也降低了其对被执行人信用修复的抵触情绪，更能彰显司法裁判的权威性和执行实效性。</w:t>
      </w:r>
    </w:p>
    <w:p w14:paraId="21C67BF2">
      <w:pPr>
        <w:numPr>
          <w:ilvl w:val="0"/>
          <w:numId w:val="0"/>
        </w:numPr>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2.主动履行部分义务型。</w:t>
      </w:r>
      <w:r>
        <w:rPr>
          <w:rFonts w:hint="default" w:ascii="仿宋" w:hAnsi="仿宋" w:eastAsia="仿宋" w:cs="仿宋"/>
          <w:sz w:val="30"/>
          <w:szCs w:val="30"/>
          <w:lang w:val="en-US" w:eastAsia="zh-CN"/>
        </w:rPr>
        <w:t>失信被执行人承诺按期履行执行和解协议的情况下，能否申请失信被执行人信用修复的问题。</w:t>
      </w:r>
      <w:r>
        <w:rPr>
          <w:rFonts w:hint="eastAsia" w:ascii="仿宋" w:hAnsi="仿宋" w:eastAsia="仿宋" w:cs="仿宋"/>
          <w:sz w:val="30"/>
          <w:szCs w:val="30"/>
          <w:lang w:val="en-US" w:eastAsia="zh-CN"/>
        </w:rPr>
        <w:t>笔者认为，</w:t>
      </w:r>
      <w:r>
        <w:rPr>
          <w:rFonts w:hint="default" w:ascii="仿宋" w:hAnsi="仿宋" w:eastAsia="仿宋" w:cs="仿宋"/>
          <w:sz w:val="30"/>
          <w:szCs w:val="30"/>
          <w:lang w:val="en-US" w:eastAsia="zh-CN"/>
        </w:rPr>
        <w:t>在失信被执行人承诺按期履行执行和解协议之外，同时将提供担保、有部分履行行为且能够持续履行共同作为申请信用修复的条件。由于暂停对失信被执行人的失信惩戒会涉及申请执行人的合法权益，因此对信用修复的资格审查应当十分谨慎，不仅需要失信被执行人拥有“主观的意愿”，更需要其具备“客观的保障”，其中“客观的保障”即失信被执行人提供了相应担保，或具备持续的履行能力。</w:t>
      </w:r>
      <w:r>
        <w:rPr>
          <w:rStyle w:val="12"/>
          <w:rFonts w:hint="default" w:ascii="仿宋" w:hAnsi="仿宋" w:eastAsia="仿宋" w:cs="仿宋"/>
          <w:sz w:val="30"/>
          <w:szCs w:val="30"/>
          <w:lang w:val="en-US" w:eastAsia="zh-CN"/>
        </w:rPr>
        <w:footnoteReference w:id="14"/>
      </w:r>
      <w:r>
        <w:rPr>
          <w:rFonts w:hint="default" w:ascii="仿宋" w:hAnsi="仿宋" w:eastAsia="仿宋" w:cs="仿宋"/>
          <w:sz w:val="30"/>
          <w:szCs w:val="30"/>
          <w:lang w:val="en-US" w:eastAsia="zh-CN"/>
        </w:rPr>
        <w:t>若在仅有承诺的情况下就将失信被执行人移出失信被执行人名单，并暂停对其适用失信惩戒，会大幅削减失信惩戒制度的威慑力，不利于失信被执行人信用修复制度宗旨的实现，也无益于社会信用体系的建设。</w:t>
      </w:r>
      <w:r>
        <w:rPr>
          <w:rStyle w:val="12"/>
          <w:rFonts w:hint="default" w:ascii="仿宋" w:hAnsi="仿宋" w:eastAsia="仿宋" w:cs="仿宋"/>
          <w:sz w:val="30"/>
          <w:szCs w:val="30"/>
          <w:lang w:val="en-US" w:eastAsia="zh-CN"/>
        </w:rPr>
        <w:footnoteReference w:id="15"/>
      </w:r>
      <w:r>
        <w:rPr>
          <w:rFonts w:hint="default" w:ascii="仿宋" w:hAnsi="仿宋" w:eastAsia="仿宋" w:cs="仿宋"/>
          <w:sz w:val="30"/>
          <w:szCs w:val="30"/>
          <w:lang w:val="en-US" w:eastAsia="zh-CN"/>
        </w:rPr>
        <w:t>因此，更加合理的制度安排是：在被执行人尚未被纳入失信被执行人名单时，若其仅承诺按期履行执行和解协议，则允许其通过信用承诺制度在短期内暂不受到失信惩戒措施，由人民法院根据其后续的承诺履行情况确定是否对其适用失信惩戒措施；在被执行人已被纳入失信被执行人名单后，其只能通过信用修复制度申请暂停受到的失信惩戒措施，且必须同时满足承诺履行执行和解协议、提供了相应担保或具备履行能力这几个条件。</w:t>
      </w:r>
    </w:p>
    <w:p w14:paraId="3FD2C940">
      <w:pPr>
        <w:numPr>
          <w:ilvl w:val="0"/>
          <w:numId w:val="0"/>
        </w:numPr>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3.客观障碍型。2024年3月8日，最高人民法院院长张军在第十四届全国人民代表大会第二次会议上，作了《最高人民法院工作报告》，该报告指出注意区分“失信”与确无财产可供执行的“失能”，对确无能力履行义务的，不纳入失信名单。“失信”针对“故意不还钱”的被执行人，将被执行人纳入失信被执行人名单，对其进行信用惩戒。除被执行人未履行生效法律文书确定的义务，还需要满足以下任一条件：（一）有履行能力而拒不履行生效法律文书确定义务的；（二）以伪造证据、暴力、威胁等方法妨碍、抗拒执行的；（三）以虚假诉讼、虚假仲裁或者以隐匿、转移财产等方法规避执行的；（四）违反财产报告制度的；（五）违反限制消费令的；（六）无正当理由拒不履行执行和解协议的。“失能”是客观上不具备执行条件，被执行人完全丧失履行能力，即使法院穷尽一切措施，也无法实际执行到位，导致“执行不能”。“失能”是客观上不具备执行条件，被执行人完全丧失履行能力，即使法院穷尽一切措施，也无法实际执行到位，导致“执行不能”。在实践中应注意区分，防止扩大纳入失信名单范围。</w:t>
      </w:r>
    </w:p>
    <w:p w14:paraId="5E1A90B0">
      <w:pPr>
        <w:ind w:firstLine="600" w:firstLineChars="200"/>
        <w:rPr>
          <w:rFonts w:hint="default" w:ascii="楷体" w:hAnsi="楷体" w:eastAsia="楷体" w:cs="Times New Roman"/>
          <w:bCs/>
          <w:sz w:val="30"/>
          <w:szCs w:val="30"/>
          <w:lang w:val="en-US" w:eastAsia="zh-CN"/>
        </w:rPr>
      </w:pPr>
      <w:r>
        <w:rPr>
          <w:rFonts w:hint="default" w:ascii="楷体" w:hAnsi="楷体" w:eastAsia="楷体" w:cs="Times New Roman"/>
          <w:bCs/>
          <w:sz w:val="30"/>
          <w:szCs w:val="30"/>
          <w:lang w:val="en-US" w:eastAsia="zh-CN"/>
        </w:rPr>
        <w:t>（三）</w:t>
      </w:r>
      <w:r>
        <w:rPr>
          <w:rFonts w:hint="eastAsia" w:ascii="楷体" w:hAnsi="楷体" w:eastAsia="楷体" w:cs="Times New Roman"/>
          <w:bCs/>
          <w:sz w:val="30"/>
          <w:szCs w:val="30"/>
          <w:lang w:val="en-US" w:eastAsia="zh-CN"/>
        </w:rPr>
        <w:t>统一</w:t>
      </w:r>
      <w:r>
        <w:rPr>
          <w:rFonts w:hint="default" w:ascii="楷体" w:hAnsi="楷体" w:eastAsia="楷体" w:cs="Times New Roman"/>
          <w:bCs/>
          <w:sz w:val="30"/>
          <w:szCs w:val="30"/>
          <w:lang w:val="en-US" w:eastAsia="zh-CN"/>
        </w:rPr>
        <w:t>修复方式</w:t>
      </w:r>
    </w:p>
    <w:p w14:paraId="2DC052CD">
      <w:pPr>
        <w:ind w:firstLine="600" w:firstLineChars="200"/>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1.精准界定修复方式。统一信用修复方式，首要路径是精准界定</w:t>
      </w:r>
      <w:r>
        <w:rPr>
          <w:rFonts w:hint="default" w:ascii="仿宋" w:hAnsi="仿宋" w:eastAsia="仿宋" w:cs="仿宋"/>
          <w:color w:val="auto"/>
          <w:sz w:val="30"/>
          <w:szCs w:val="30"/>
          <w:lang w:val="en-US" w:eastAsia="zh-CN"/>
        </w:rPr>
        <w:t>“屏蔽” 和“删除”</w:t>
      </w:r>
      <w:r>
        <w:rPr>
          <w:rFonts w:hint="eastAsia" w:ascii="仿宋" w:hAnsi="仿宋" w:eastAsia="仿宋" w:cs="仿宋"/>
          <w:color w:val="auto"/>
          <w:sz w:val="30"/>
          <w:szCs w:val="30"/>
          <w:lang w:val="en-US" w:eastAsia="zh-CN"/>
        </w:rPr>
        <w:t>的操作标准</w:t>
      </w:r>
      <w:r>
        <w:rPr>
          <w:rFonts w:hint="default" w:ascii="仿宋" w:hAnsi="仿宋" w:eastAsia="仿宋" w:cs="仿宋"/>
          <w:color w:val="auto"/>
          <w:sz w:val="30"/>
          <w:szCs w:val="30"/>
          <w:lang w:val="en-US" w:eastAsia="zh-CN"/>
        </w:rPr>
        <w:t>。</w:t>
      </w:r>
      <w:r>
        <w:rPr>
          <w:rFonts w:hint="eastAsia" w:ascii="仿宋" w:hAnsi="仿宋" w:eastAsia="仿宋" w:cs="仿宋"/>
          <w:color w:val="auto"/>
          <w:sz w:val="30"/>
          <w:szCs w:val="30"/>
          <w:lang w:val="en-US" w:eastAsia="zh-CN"/>
        </w:rPr>
        <w:t>但是司法实践中，通过全国一张网系统对</w:t>
      </w:r>
      <w:r>
        <w:rPr>
          <w:rFonts w:hint="default" w:ascii="仿宋" w:hAnsi="仿宋" w:eastAsia="仿宋" w:cs="仿宋"/>
          <w:color w:val="auto"/>
          <w:sz w:val="30"/>
          <w:szCs w:val="30"/>
          <w:lang w:val="en-US" w:eastAsia="zh-CN"/>
        </w:rPr>
        <w:t>“屏蔽” 和“删除</w:t>
      </w:r>
      <w:r>
        <w:rPr>
          <w:rFonts w:hint="eastAsia" w:ascii="仿宋" w:hAnsi="仿宋" w:eastAsia="仿宋" w:cs="仿宋"/>
          <w:color w:val="auto"/>
          <w:sz w:val="30"/>
          <w:szCs w:val="30"/>
          <w:lang w:val="en-US" w:eastAsia="zh-CN"/>
        </w:rPr>
        <w:t>”修复情形进行统计，并不能统计出删除数据，只能统计屏蔽数据，可能屏蔽包含了删除。笔者认为，</w:t>
      </w:r>
      <w:r>
        <w:rPr>
          <w:rFonts w:hint="default" w:ascii="仿宋" w:hAnsi="仿宋" w:eastAsia="仿宋" w:cs="仿宋"/>
          <w:color w:val="auto"/>
          <w:sz w:val="30"/>
          <w:szCs w:val="30"/>
          <w:lang w:val="en-US" w:eastAsia="zh-CN"/>
        </w:rPr>
        <w:t>应当将“屏蔽”和“删除”作为两种不同的修复方式，其中“屏蔽”是指失信被执行人完成信用修复后，其失信信息在对外公开的中国执行信息公开网和不对外公开的其他部门内部系统中均予以清除，但在人民法院的内部数据库中依然保留。“删除”则是指失信被执行人完成信用修复后，其失信信息从人民法院的数据库中完全清除，无论是中国执行信息公开网，还是其他部门的内部系统，抑或是人民法院的内部数据库，均不予保留</w:t>
      </w:r>
      <w:r>
        <w:rPr>
          <w:rFonts w:hint="eastAsia" w:ascii="仿宋" w:hAnsi="仿宋" w:eastAsia="仿宋" w:cs="仿宋"/>
          <w:color w:val="auto"/>
          <w:sz w:val="30"/>
          <w:szCs w:val="30"/>
          <w:lang w:val="en-US" w:eastAsia="zh-CN"/>
        </w:rPr>
        <w:t>。</w:t>
      </w:r>
      <w:r>
        <w:rPr>
          <w:rFonts w:hint="default" w:ascii="仿宋" w:hAnsi="仿宋" w:eastAsia="仿宋" w:cs="仿宋"/>
          <w:color w:val="auto"/>
          <w:sz w:val="30"/>
          <w:szCs w:val="30"/>
          <w:lang w:val="en-US" w:eastAsia="zh-CN"/>
        </w:rPr>
        <w:t>目前失信被执行人信用修复的方式</w:t>
      </w:r>
      <w:r>
        <w:rPr>
          <w:rFonts w:hint="eastAsia" w:ascii="仿宋" w:hAnsi="仿宋" w:eastAsia="仿宋" w:cs="仿宋"/>
          <w:color w:val="auto"/>
          <w:sz w:val="30"/>
          <w:szCs w:val="30"/>
          <w:lang w:val="en-US" w:eastAsia="zh-CN"/>
        </w:rPr>
        <w:t>有</w:t>
      </w:r>
      <w:r>
        <w:rPr>
          <w:rFonts w:hint="default" w:ascii="仿宋" w:hAnsi="仿宋" w:eastAsia="仿宋" w:cs="仿宋"/>
          <w:color w:val="auto"/>
          <w:sz w:val="30"/>
          <w:szCs w:val="30"/>
          <w:lang w:val="en-US" w:eastAsia="zh-CN"/>
        </w:rPr>
        <w:t>“屏蔽”和“删除”。“缩短失信期限”</w:t>
      </w:r>
      <w:r>
        <w:rPr>
          <w:rFonts w:hint="eastAsia" w:ascii="仿宋" w:hAnsi="仿宋" w:eastAsia="仿宋" w:cs="仿宋"/>
          <w:color w:val="auto"/>
          <w:sz w:val="30"/>
          <w:szCs w:val="30"/>
          <w:lang w:val="en-US" w:eastAsia="zh-CN"/>
        </w:rPr>
        <w:t>并未明确固定，但缩短期限也是信用修复的一种重要方式</w:t>
      </w:r>
      <w:r>
        <w:rPr>
          <w:rFonts w:hint="default" w:ascii="仿宋" w:hAnsi="仿宋" w:eastAsia="仿宋" w:cs="仿宋"/>
          <w:color w:val="auto"/>
          <w:sz w:val="30"/>
          <w:szCs w:val="30"/>
          <w:lang w:val="en-US" w:eastAsia="zh-CN"/>
        </w:rPr>
        <w:t>，</w:t>
      </w:r>
      <w:r>
        <w:rPr>
          <w:rFonts w:hint="eastAsia" w:ascii="仿宋" w:hAnsi="仿宋" w:eastAsia="仿宋" w:cs="仿宋"/>
          <w:color w:val="auto"/>
          <w:sz w:val="30"/>
          <w:szCs w:val="30"/>
          <w:lang w:val="en-US" w:eastAsia="zh-CN"/>
        </w:rPr>
        <w:t>是指</w:t>
      </w:r>
      <w:r>
        <w:rPr>
          <w:rFonts w:hint="default" w:ascii="仿宋" w:hAnsi="仿宋" w:eastAsia="仿宋" w:cs="仿宋"/>
          <w:color w:val="auto"/>
          <w:sz w:val="30"/>
          <w:szCs w:val="30"/>
          <w:lang w:val="en-US" w:eastAsia="zh-CN"/>
        </w:rPr>
        <w:t>失信信息依然对外公开，只是公开时长减少</w:t>
      </w:r>
      <w:r>
        <w:rPr>
          <w:rFonts w:hint="eastAsia" w:ascii="仿宋" w:hAnsi="仿宋" w:eastAsia="仿宋" w:cs="仿宋"/>
          <w:color w:val="auto"/>
          <w:sz w:val="30"/>
          <w:szCs w:val="30"/>
          <w:lang w:val="en-US" w:eastAsia="zh-CN"/>
        </w:rPr>
        <w:t>比如，被执行人按时分期履行，可以缩短失信期限</w:t>
      </w:r>
      <w:r>
        <w:rPr>
          <w:rFonts w:hint="default" w:ascii="仿宋" w:hAnsi="仿宋" w:eastAsia="仿宋" w:cs="仿宋"/>
          <w:color w:val="auto"/>
          <w:sz w:val="30"/>
          <w:szCs w:val="30"/>
          <w:lang w:val="en-US" w:eastAsia="zh-CN"/>
        </w:rPr>
        <w:t>。“屏蔽”失信信息后，失信信息只在人民法院内部系统可以查看。“删除”失信信息后，失信信息永久消除。在区分不同修复方式的含义之后，还应当进一步明确在何种情况下适用何种修复方式。按照不同修复方式对失信被执行人带来的不利影响进行排序，由重到轻分别是“缩短失信期限”“屏蔽”和“删除”。</w:t>
      </w:r>
    </w:p>
    <w:p w14:paraId="11BDA349">
      <w:pPr>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2.建立分级分类信用修复体现</w:t>
      </w:r>
    </w:p>
    <w:p w14:paraId="10297AC6">
      <w:pPr>
        <w:numPr>
          <w:ilvl w:val="0"/>
          <w:numId w:val="0"/>
        </w:numPr>
        <w:ind w:firstLine="600" w:firstLineChars="200"/>
        <w:rPr>
          <w:rFonts w:hint="eastAsia" w:ascii="仿宋" w:hAnsi="仿宋" w:eastAsia="仿宋" w:cs="仿宋"/>
          <w:color w:val="auto"/>
          <w:sz w:val="30"/>
          <w:szCs w:val="30"/>
          <w:lang w:val="en-US" w:eastAsia="zh-CN"/>
        </w:rPr>
      </w:pPr>
      <w:r>
        <w:rPr>
          <w:rFonts w:hint="default" w:ascii="仿宋" w:hAnsi="仿宋" w:eastAsia="仿宋" w:cs="仿宋"/>
          <w:color w:val="auto"/>
          <w:sz w:val="30"/>
          <w:szCs w:val="30"/>
          <w:lang w:val="en-US" w:eastAsia="zh-CN"/>
        </w:rPr>
        <w:t>为了提高失信惩戒的威慑性和信用修复的精准性，</w:t>
      </w:r>
      <w:r>
        <w:rPr>
          <w:rFonts w:hint="eastAsia" w:ascii="仿宋" w:hAnsi="仿宋" w:eastAsia="仿宋" w:cs="仿宋"/>
          <w:color w:val="auto"/>
          <w:sz w:val="30"/>
          <w:szCs w:val="30"/>
          <w:lang w:val="en-US" w:eastAsia="zh-CN"/>
        </w:rPr>
        <w:t>建议</w:t>
      </w:r>
      <w:r>
        <w:rPr>
          <w:rFonts w:hint="default" w:ascii="仿宋" w:hAnsi="仿宋" w:eastAsia="仿宋" w:cs="仿宋"/>
          <w:color w:val="auto"/>
          <w:sz w:val="30"/>
          <w:szCs w:val="30"/>
          <w:lang w:val="en-US" w:eastAsia="zh-CN"/>
        </w:rPr>
        <w:t>根据失信被执行人所实施失信行为程度的轻重</w:t>
      </w:r>
      <w:r>
        <w:rPr>
          <w:rFonts w:hint="eastAsia" w:ascii="仿宋" w:hAnsi="仿宋" w:eastAsia="仿宋" w:cs="仿宋"/>
          <w:color w:val="auto"/>
          <w:sz w:val="30"/>
          <w:szCs w:val="30"/>
          <w:lang w:val="en-US" w:eastAsia="zh-CN"/>
        </w:rPr>
        <w:t>和修复意愿</w:t>
      </w:r>
      <w:r>
        <w:rPr>
          <w:rFonts w:hint="default" w:ascii="仿宋" w:hAnsi="仿宋" w:eastAsia="仿宋" w:cs="仿宋"/>
          <w:color w:val="auto"/>
          <w:sz w:val="30"/>
          <w:szCs w:val="30"/>
          <w:lang w:val="en-US" w:eastAsia="zh-CN"/>
        </w:rPr>
        <w:t>，</w:t>
      </w:r>
      <w:r>
        <w:rPr>
          <w:rFonts w:hint="eastAsia" w:ascii="仿宋" w:hAnsi="仿宋" w:eastAsia="仿宋" w:cs="仿宋"/>
          <w:color w:val="auto"/>
          <w:sz w:val="30"/>
          <w:szCs w:val="30"/>
          <w:lang w:val="en-US" w:eastAsia="zh-CN"/>
        </w:rPr>
        <w:t>开展分级分类差异化信用修复治理</w:t>
      </w:r>
      <w:r>
        <w:rPr>
          <w:rFonts w:hint="default" w:ascii="仿宋" w:hAnsi="仿宋" w:eastAsia="仿宋" w:cs="仿宋"/>
          <w:color w:val="auto"/>
          <w:sz w:val="30"/>
          <w:szCs w:val="30"/>
          <w:lang w:val="en-US" w:eastAsia="zh-CN"/>
        </w:rPr>
        <w:t>，这也符合比例原则的要求，能够平衡债权人与债务人之间的利益关系。</w:t>
      </w:r>
      <w:r>
        <w:rPr>
          <w:rStyle w:val="12"/>
          <w:rFonts w:hint="default" w:ascii="仿宋" w:hAnsi="仿宋" w:eastAsia="仿宋" w:cs="仿宋"/>
          <w:color w:val="auto"/>
          <w:sz w:val="30"/>
          <w:szCs w:val="30"/>
          <w:lang w:val="en-US" w:eastAsia="zh-CN"/>
        </w:rPr>
        <w:footnoteReference w:id="16"/>
      </w:r>
      <w:r>
        <w:rPr>
          <w:rFonts w:hint="default" w:ascii="仿宋" w:hAnsi="仿宋" w:eastAsia="仿宋" w:cs="仿宋"/>
          <w:color w:val="auto"/>
          <w:sz w:val="30"/>
          <w:szCs w:val="30"/>
          <w:lang w:val="en-US" w:eastAsia="zh-CN"/>
        </w:rPr>
        <w:t>具体来说，</w:t>
      </w:r>
      <w:r>
        <w:rPr>
          <w:rFonts w:hint="eastAsia" w:ascii="仿宋" w:hAnsi="仿宋" w:eastAsia="仿宋" w:cs="仿宋"/>
          <w:color w:val="auto"/>
          <w:sz w:val="30"/>
          <w:szCs w:val="30"/>
          <w:lang w:val="en-US" w:eastAsia="zh-CN"/>
        </w:rPr>
        <w:t>将失信行为根据社会危害性、诚信表现分为轻微失信、一般失信和针对性的开展分级修复。对于失信被执行人实施的轻微失信的，通过教育引导和简化程序，开展快速信用修复，</w:t>
      </w:r>
      <w:r>
        <w:rPr>
          <w:rFonts w:hint="default" w:ascii="仿宋" w:hAnsi="仿宋" w:eastAsia="仿宋" w:cs="仿宋"/>
          <w:color w:val="auto"/>
          <w:sz w:val="30"/>
          <w:szCs w:val="30"/>
          <w:lang w:val="en-US" w:eastAsia="zh-CN"/>
        </w:rPr>
        <w:t>人民法院应当在其信用修复完成后“删除”其失信信息</w:t>
      </w:r>
      <w:r>
        <w:rPr>
          <w:rFonts w:hint="eastAsia" w:ascii="仿宋" w:hAnsi="仿宋" w:eastAsia="仿宋" w:cs="仿宋"/>
          <w:color w:val="auto"/>
          <w:sz w:val="30"/>
          <w:szCs w:val="30"/>
          <w:lang w:val="en-US" w:eastAsia="zh-CN"/>
        </w:rPr>
        <w:t>；对于</w:t>
      </w:r>
      <w:r>
        <w:rPr>
          <w:rFonts w:hint="default" w:ascii="仿宋" w:hAnsi="仿宋" w:eastAsia="仿宋" w:cs="仿宋"/>
          <w:color w:val="auto"/>
          <w:sz w:val="30"/>
          <w:szCs w:val="30"/>
          <w:lang w:val="en-US" w:eastAsia="zh-CN"/>
        </w:rPr>
        <w:t>失信被执行人实施的是社会危害性一般的失信行为</w:t>
      </w:r>
      <w:r>
        <w:rPr>
          <w:rFonts w:hint="eastAsia" w:ascii="仿宋" w:hAnsi="仿宋" w:eastAsia="仿宋" w:cs="仿宋"/>
          <w:color w:val="auto"/>
          <w:sz w:val="30"/>
          <w:szCs w:val="30"/>
          <w:lang w:val="en-US" w:eastAsia="zh-CN"/>
        </w:rPr>
        <w:t>，通过信用承诺、执行和解、分期履行和执行担保等，分布开展信用修复，</w:t>
      </w:r>
      <w:r>
        <w:rPr>
          <w:rFonts w:hint="default" w:ascii="仿宋" w:hAnsi="仿宋" w:eastAsia="仿宋" w:cs="仿宋"/>
          <w:color w:val="auto"/>
          <w:sz w:val="30"/>
          <w:szCs w:val="30"/>
          <w:lang w:val="en-US" w:eastAsia="zh-CN"/>
        </w:rPr>
        <w:t>人民法院应当在其信用修复完成后“屏蔽”其失信信息</w:t>
      </w:r>
      <w:r>
        <w:rPr>
          <w:rFonts w:hint="eastAsia" w:ascii="仿宋" w:hAnsi="仿宋" w:eastAsia="仿宋" w:cs="仿宋"/>
          <w:color w:val="auto"/>
          <w:sz w:val="30"/>
          <w:szCs w:val="30"/>
          <w:lang w:val="en-US" w:eastAsia="zh-CN"/>
        </w:rPr>
        <w:t>；对于失信被执行人实施的严重失信行为，应该拒执打击、长期公示、信用评估等额，渐进式推进信用修复，</w:t>
      </w:r>
      <w:r>
        <w:rPr>
          <w:rFonts w:hint="default" w:ascii="仿宋" w:hAnsi="仿宋" w:eastAsia="仿宋" w:cs="仿宋"/>
          <w:color w:val="auto"/>
          <w:sz w:val="30"/>
          <w:szCs w:val="30"/>
          <w:lang w:val="en-US" w:eastAsia="zh-CN"/>
        </w:rPr>
        <w:t>人民法院应当在其信用修复完成后缩短其失信信息的公示期限</w:t>
      </w:r>
      <w:r>
        <w:rPr>
          <w:rFonts w:hint="eastAsia" w:ascii="仿宋" w:hAnsi="仿宋" w:eastAsia="仿宋" w:cs="仿宋"/>
          <w:color w:val="auto"/>
          <w:sz w:val="30"/>
          <w:szCs w:val="30"/>
          <w:lang w:val="en-US" w:eastAsia="zh-CN"/>
        </w:rPr>
        <w:t>。</w:t>
      </w:r>
    </w:p>
    <w:p w14:paraId="55681EE5">
      <w:pPr>
        <w:numPr>
          <w:ilvl w:val="0"/>
          <w:numId w:val="0"/>
        </w:numPr>
        <w:ind w:firstLine="600" w:firstLineChars="200"/>
        <w:rPr>
          <w:rFonts w:hint="default" w:ascii="楷体" w:hAnsi="楷体" w:eastAsia="楷体" w:cs="Times New Roman"/>
          <w:bCs/>
          <w:sz w:val="30"/>
          <w:szCs w:val="30"/>
          <w:lang w:val="en-US" w:eastAsia="zh-CN"/>
        </w:rPr>
      </w:pPr>
      <w:r>
        <w:rPr>
          <w:rFonts w:hint="eastAsia" w:ascii="楷体" w:hAnsi="楷体" w:eastAsia="楷体" w:cs="Times New Roman"/>
          <w:bCs/>
          <w:sz w:val="30"/>
          <w:szCs w:val="30"/>
          <w:lang w:val="en-US" w:eastAsia="zh-CN"/>
        </w:rPr>
        <w:t>（四）</w:t>
      </w:r>
      <w:r>
        <w:rPr>
          <w:rFonts w:hint="default" w:ascii="楷体" w:hAnsi="楷体" w:eastAsia="楷体" w:cs="Times New Roman"/>
          <w:bCs/>
          <w:sz w:val="30"/>
          <w:szCs w:val="30"/>
          <w:lang w:val="en-US" w:eastAsia="zh-CN"/>
        </w:rPr>
        <w:t>强化内部监督管理</w:t>
      </w:r>
    </w:p>
    <w:p w14:paraId="25153325">
      <w:pPr>
        <w:numPr>
          <w:ilvl w:val="0"/>
          <w:numId w:val="0"/>
        </w:numPr>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顾名思义就是法院内部进行监管。</w:t>
      </w:r>
      <w:r>
        <w:rPr>
          <w:rFonts w:hint="default" w:ascii="仿宋" w:hAnsi="仿宋" w:eastAsia="仿宋" w:cs="仿宋"/>
          <w:sz w:val="30"/>
          <w:szCs w:val="30"/>
          <w:lang w:val="en-US" w:eastAsia="zh-CN"/>
        </w:rPr>
        <w:t>建立良好的机制制度，加强人民法院内部的自我审核把关、自我监督管理，规范修复方式和流程，才能使信用修复机制充分有效运行。</w:t>
      </w:r>
      <w:r>
        <w:rPr>
          <w:rStyle w:val="12"/>
          <w:rFonts w:hint="default" w:ascii="仿宋" w:hAnsi="仿宋" w:eastAsia="仿宋" w:cs="仿宋"/>
          <w:sz w:val="30"/>
          <w:szCs w:val="30"/>
          <w:lang w:val="en-US" w:eastAsia="zh-CN"/>
        </w:rPr>
        <w:footnoteReference w:id="17"/>
      </w:r>
      <w:r>
        <w:rPr>
          <w:rFonts w:hint="default" w:ascii="仿宋" w:hAnsi="仿宋" w:eastAsia="仿宋" w:cs="仿宋"/>
          <w:sz w:val="30"/>
          <w:szCs w:val="30"/>
          <w:lang w:val="en-US" w:eastAsia="zh-CN"/>
        </w:rPr>
        <w:t>具体应做到以下几点：</w:t>
      </w:r>
    </w:p>
    <w:p w14:paraId="2378E539">
      <w:pPr>
        <w:numPr>
          <w:ilvl w:val="0"/>
          <w:numId w:val="0"/>
        </w:numPr>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1.</w:t>
      </w:r>
      <w:r>
        <w:rPr>
          <w:rFonts w:hint="default" w:ascii="仿宋" w:hAnsi="仿宋" w:eastAsia="仿宋" w:cs="仿宋"/>
          <w:sz w:val="30"/>
          <w:szCs w:val="30"/>
          <w:lang w:val="en-US" w:eastAsia="zh-CN"/>
        </w:rPr>
        <w:t>完善制度建设，明确权责边界</w:t>
      </w:r>
      <w:r>
        <w:rPr>
          <w:rFonts w:hint="eastAsia" w:ascii="仿宋" w:hAnsi="仿宋" w:eastAsia="仿宋" w:cs="仿宋"/>
          <w:sz w:val="30"/>
          <w:szCs w:val="30"/>
          <w:lang w:val="en-US" w:eastAsia="zh-CN"/>
        </w:rPr>
        <w:t>。</w:t>
      </w:r>
      <w:r>
        <w:rPr>
          <w:rFonts w:hint="default" w:ascii="仿宋" w:hAnsi="仿宋" w:eastAsia="仿宋" w:cs="仿宋"/>
          <w:sz w:val="30"/>
          <w:szCs w:val="30"/>
          <w:lang w:val="en-US" w:eastAsia="zh-CN"/>
        </w:rPr>
        <w:t xml:space="preserve">构建覆盖信用修复全流程的制度体系，明确各岗位的职责与权限。制定《信用修复内部操作细则》，细化修复申请受理、材料审核、信息核查、决定作出等环节的标准和流程，明确时间节点，让信用修复具有可操作性、有章可循，这样才能有效避免在信用修复过程中存在的主观任意性和随意性。 </w:t>
      </w:r>
    </w:p>
    <w:p w14:paraId="212A6215">
      <w:pPr>
        <w:numPr>
          <w:ilvl w:val="0"/>
          <w:numId w:val="0"/>
        </w:numPr>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w:t>
      </w:r>
      <w:r>
        <w:rPr>
          <w:rFonts w:hint="default" w:ascii="仿宋" w:hAnsi="仿宋" w:eastAsia="仿宋" w:cs="仿宋"/>
          <w:sz w:val="30"/>
          <w:szCs w:val="30"/>
          <w:lang w:val="en-US" w:eastAsia="zh-CN"/>
        </w:rPr>
        <w:t>建立内部审查机制，对符合删除条件的失信信息要及时删除，避免延迟删除给当事人造成损失。根据《失信规定》第十条第四款规定，案件终本后，通过网络执行查控系统查询被执行人财产两次以上，未发现有可供执行财产，且申请执行人或者其他人未提供有效财产线索的，人民法院应当在三个工作日内删除失信信息。但司法实践中，人民法院为保障申请执行人债权的最终实 现以及防止被执行人隐瞒、转移财产，一般情况下，如果被执行人不主动提出申请，即使满足删除条件，执行法院也不会主动履行删除职责的。所以，应当建立一整套的内部审查监督机制，通过定期核查、甄别失信信息，及时纠正错误信息。</w:t>
      </w:r>
    </w:p>
    <w:p w14:paraId="02332F98">
      <w:pPr>
        <w:numPr>
          <w:ilvl w:val="0"/>
          <w:numId w:val="0"/>
        </w:numPr>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3.</w:t>
      </w:r>
      <w:r>
        <w:rPr>
          <w:rFonts w:hint="default" w:ascii="仿宋" w:hAnsi="仿宋" w:eastAsia="仿宋" w:cs="仿宋"/>
          <w:sz w:val="30"/>
          <w:szCs w:val="30"/>
          <w:lang w:val="en-US" w:eastAsia="zh-CN"/>
        </w:rPr>
        <w:t>优化流程管控，实现全程留痕</w:t>
      </w:r>
      <w:r>
        <w:rPr>
          <w:rFonts w:hint="eastAsia" w:ascii="仿宋" w:hAnsi="仿宋" w:eastAsia="仿宋" w:cs="仿宋"/>
          <w:sz w:val="30"/>
          <w:szCs w:val="30"/>
          <w:lang w:val="en-US" w:eastAsia="zh-CN"/>
        </w:rPr>
        <w:t>。</w:t>
      </w:r>
      <w:r>
        <w:rPr>
          <w:rFonts w:hint="default" w:ascii="仿宋" w:hAnsi="仿宋" w:eastAsia="仿宋" w:cs="仿宋"/>
          <w:sz w:val="30"/>
          <w:szCs w:val="30"/>
          <w:lang w:val="en-US" w:eastAsia="zh-CN"/>
        </w:rPr>
        <w:t>借助信息化手段搭建信用修复管理系统，对修复申请从受理到办结的全流程进行电子化管理。每个操作环节自动记录时间、责任人及处理意见，形成可追溯的电子档案。</w:t>
      </w:r>
      <w:r>
        <w:rPr>
          <w:rStyle w:val="12"/>
          <w:rFonts w:hint="default" w:ascii="仿宋" w:hAnsi="仿宋" w:eastAsia="仿宋" w:cs="仿宋"/>
          <w:sz w:val="30"/>
          <w:szCs w:val="30"/>
          <w:lang w:val="en-US" w:eastAsia="zh-CN"/>
        </w:rPr>
        <w:footnoteReference w:id="18"/>
      </w:r>
      <w:r>
        <w:rPr>
          <w:rFonts w:hint="default" w:ascii="仿宋" w:hAnsi="仿宋" w:eastAsia="仿宋" w:cs="仿宋"/>
          <w:sz w:val="30"/>
          <w:szCs w:val="30"/>
          <w:lang w:val="en-US" w:eastAsia="zh-CN"/>
        </w:rPr>
        <w:t>例如，</w:t>
      </w:r>
      <w:r>
        <w:rPr>
          <w:rFonts w:hint="eastAsia" w:ascii="仿宋" w:hAnsi="仿宋" w:eastAsia="仿宋" w:cs="仿宋"/>
          <w:sz w:val="30"/>
          <w:szCs w:val="30"/>
          <w:lang w:val="en-US" w:eastAsia="zh-CN"/>
        </w:rPr>
        <w:t>一张网系统对执行案件的关键节点进行提醒，建议按照节点进行操作，按照规定程序及节点操作，便于</w:t>
      </w:r>
      <w:r>
        <w:rPr>
          <w:rFonts w:hint="default" w:ascii="仿宋" w:hAnsi="仿宋" w:eastAsia="仿宋" w:cs="仿宋"/>
          <w:sz w:val="30"/>
          <w:szCs w:val="30"/>
          <w:lang w:val="en-US" w:eastAsia="zh-CN"/>
        </w:rPr>
        <w:t>后续复查与监督。</w:t>
      </w:r>
    </w:p>
    <w:p w14:paraId="4C704298">
      <w:pPr>
        <w:numPr>
          <w:ilvl w:val="0"/>
          <w:numId w:val="3"/>
        </w:numPr>
        <w:ind w:left="0" w:leftChars="0" w:firstLine="300" w:firstLineChars="100"/>
        <w:rPr>
          <w:rFonts w:hint="eastAsia" w:ascii="楷体" w:hAnsi="楷体" w:eastAsia="楷体" w:cs="Times New Roman"/>
          <w:bCs/>
          <w:sz w:val="30"/>
          <w:szCs w:val="30"/>
          <w:lang w:val="en-US" w:eastAsia="zh-CN"/>
        </w:rPr>
      </w:pPr>
      <w:r>
        <w:rPr>
          <w:rFonts w:hint="eastAsia" w:ascii="楷体" w:hAnsi="楷体" w:eastAsia="楷体" w:cs="Times New Roman"/>
          <w:bCs/>
          <w:sz w:val="30"/>
          <w:szCs w:val="30"/>
          <w:lang w:val="en-US" w:eastAsia="zh-CN"/>
        </w:rPr>
        <w:t>完善救济途径</w:t>
      </w:r>
    </w:p>
    <w:p w14:paraId="7B5498ED">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1.注意救济途径，申请执行人与被执行人对人民法院作出的信用修复决定,需要赋予他们救济的途径,否则权利难以保障。 借鉴江西省高级人民法院信用修复经验,赋予当事人提出执行异议和执行异议之诉的权利,可以考虑对信用修复的救济作出如下规定:“当事人如对人民法院所作出的信用修复的执行决定有异议,可以在收到执行决定之日起三十日内向作出决定的法院提出异议。 执行法院在收到异议之日起十五日内应当对异 议审查并作出裁定;当事人仍有异议的,按照《中华人民共和国民事诉讼法》第二百二十五条规定依法处理。”</w:t>
      </w:r>
    </w:p>
    <w:p w14:paraId="0D2C3448">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注意参与信用修复的具体方式和尺度。政府部门信用修复机构和人民法院需要区分行政权与司法权两者的界限,避免两个单位之间在信用修复程序中出现越权、越位现象,最终造成对金融机构、政府部门等所有涉及征信领域的单位造成不正当影响或干预,出现信用修复乱用、滥用、错用等情形。</w:t>
      </w:r>
      <w:r>
        <w:rPr>
          <w:rStyle w:val="12"/>
          <w:rFonts w:hint="eastAsia" w:ascii="仿宋" w:hAnsi="仿宋" w:eastAsia="仿宋" w:cs="仿宋"/>
          <w:sz w:val="30"/>
          <w:szCs w:val="30"/>
          <w:lang w:val="en-US" w:eastAsia="zh-CN"/>
        </w:rPr>
        <w:footnoteReference w:id="19"/>
      </w:r>
      <w:r>
        <w:rPr>
          <w:rFonts w:hint="eastAsia" w:ascii="仿宋" w:hAnsi="仿宋" w:eastAsia="仿宋" w:cs="仿宋"/>
          <w:sz w:val="30"/>
          <w:szCs w:val="30"/>
          <w:lang w:val="en-US" w:eastAsia="zh-CN"/>
        </w:rPr>
        <w:t>譬如,某些法院在处理失信被执行人的信用修复时, 向金融机构、政府部门出具人民法院的协助执行通知书或函件等替代中国人民银行的征信报告,要求对被执行人进行信用修复,而此种做法在本质上已经履行第三方信用服务机构对失信被执行人进行信用检测并出具征信报告的职责,虽然有利于失信被执行人的信用修复,但却让法院陷入两难境地,使得法院为失信被执行人在社会评价及事实上提供担保。</w:t>
      </w:r>
      <w:r>
        <w:rPr>
          <w:rStyle w:val="12"/>
          <w:rFonts w:hint="eastAsia" w:ascii="仿宋" w:hAnsi="仿宋" w:eastAsia="仿宋" w:cs="仿宋"/>
          <w:sz w:val="30"/>
          <w:szCs w:val="30"/>
          <w:lang w:val="en-US" w:eastAsia="zh-CN"/>
        </w:rPr>
        <w:footnoteReference w:id="20"/>
      </w:r>
      <w:r>
        <w:rPr>
          <w:rFonts w:hint="eastAsia" w:ascii="仿宋" w:hAnsi="仿宋" w:eastAsia="仿宋" w:cs="仿宋"/>
          <w:sz w:val="30"/>
          <w:szCs w:val="30"/>
          <w:lang w:val="en-US" w:eastAsia="zh-CN"/>
        </w:rPr>
        <w:t xml:space="preserve">一旦在后续问题上出现信用风险或再次失信, 必将导致法院的司法公信力遭受重创,而此种伤害在很大程度上会造成信用修复机制无法走得长远, 所以应当严格限制除第三方信用机构之外评价及修复措施。 </w:t>
      </w:r>
    </w:p>
    <w:p w14:paraId="626B1CBA">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0"/>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结语</w:t>
      </w:r>
    </w:p>
    <w:p w14:paraId="1FA39640">
      <w:pPr>
        <w:numPr>
          <w:ilvl w:val="0"/>
          <w:numId w:val="0"/>
        </w:numPr>
        <w:ind w:firstLine="600" w:firstLineChars="200"/>
        <w:jc w:val="left"/>
        <w:rPr>
          <w:rFonts w:hint="default" w:ascii="仿宋" w:hAnsi="仿宋" w:eastAsia="仿宋" w:cs="仿宋"/>
          <w:sz w:val="30"/>
          <w:szCs w:val="30"/>
          <w:lang w:val="en-US" w:eastAsia="zh-CN"/>
        </w:rPr>
      </w:pPr>
      <w:r>
        <w:rPr>
          <w:rFonts w:hint="default" w:ascii="仿宋" w:hAnsi="仿宋" w:eastAsia="仿宋" w:cs="仿宋"/>
          <w:sz w:val="30"/>
          <w:szCs w:val="30"/>
          <w:lang w:val="en-US" w:eastAsia="zh-CN"/>
        </w:rPr>
        <w:t>失信被执行人信用修复制度的完善是司法信用治理体系现代化的重要一环。本文通过对制度规范与实践困境的深度剖析，证实信用修复并非单纯的失信信息清除，而是融合惩戒威慑、权益平衡与社会信用重塑的系统性工程。当前，需以 “明确边界、统一标准、分级施策、强化监督” 为核心，推动制度从 “惩戒主导” 向 “惩戒与激励并重” 转型。未来研究可进一步聚焦信用修复与社会信用体系的衔接机制，探索企业与个人修复路径的差异化设计，为构建中国特色信用治理体系提供更精细化的理论支撑与实践方案。</w:t>
      </w:r>
    </w:p>
    <w:sectPr>
      <w:footnotePr>
        <w:numFmt w:val="decimalEnclosedCircleChinese"/>
        <w:numRestart w:val="eachPage"/>
      </w:footnote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41387">
    <w:pPr>
      <w:pStyle w:val="4"/>
      <w:jc w:val="center"/>
    </w:pPr>
  </w:p>
  <w:p w14:paraId="70DDB7E0">
    <w:pPr>
      <w:pStyle w:val="4"/>
      <w:jc w:val="center"/>
    </w:pPr>
    <w:r>
      <w:fldChar w:fldCharType="begin"/>
    </w:r>
    <w:r>
      <w:instrText xml:space="preserve">PAGE   \* MERGEFORMAT</w:instrText>
    </w:r>
    <w:r>
      <w:fldChar w:fldCharType="separate"/>
    </w:r>
    <w:r>
      <w:rPr>
        <w:lang w:val="zh-CN"/>
      </w:rPr>
      <w:t>2</w:t>
    </w:r>
    <w:r>
      <w:fldChar w:fldCharType="end"/>
    </w:r>
  </w:p>
  <w:p w14:paraId="1587F446">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2">
    <w:p>
      <w:r>
        <w:separator/>
      </w:r>
    </w:p>
  </w:footnote>
  <w:footnote w:type="continuationSeparator" w:id="43">
    <w:p>
      <w:r>
        <w:continuationSeparator/>
      </w:r>
    </w:p>
  </w:footnote>
  <w:footnote w:id="0">
    <w:p w14:paraId="2E69CDEB">
      <w:pPr>
        <w:pStyle w:val="5"/>
        <w:snapToGrid w:val="0"/>
      </w:pPr>
      <w:r>
        <w:rPr>
          <w:rStyle w:val="12"/>
        </w:rPr>
        <w:footnoteRef/>
      </w:r>
      <w:r>
        <w:t xml:space="preserve"> </w:t>
      </w:r>
      <w:r>
        <w:rPr>
          <w:rFonts w:hint="eastAsia"/>
        </w:rPr>
        <w:t>《关于公布失信被执行人名单信息的若干规定》第七条  失信被执行人符合下列情形之一的，人民法院应当将其有关信息从失信被执行人名单库中删除:(一)全部履行了生效法律文书确定义务的;(二)与申请执行人达成执行和解协议并经申请执行人确认履行完毕的;(三)人民法院依法裁定终结执行的。</w:t>
      </w:r>
    </w:p>
  </w:footnote>
  <w:footnote w:id="1">
    <w:p w14:paraId="4ACBBCE9">
      <w:pPr>
        <w:pStyle w:val="5"/>
        <w:snapToGrid w:val="0"/>
      </w:pPr>
      <w:r>
        <w:rPr>
          <w:rStyle w:val="12"/>
        </w:rPr>
        <w:footnoteRef/>
      </w:r>
      <w:r>
        <w:t xml:space="preserve"> </w:t>
      </w:r>
      <w:r>
        <w:rPr>
          <w:rFonts w:hint="eastAsia"/>
        </w:rPr>
        <w:t>《关于公布失信被执行人名单信息的若干规定》</w:t>
      </w:r>
      <w:r>
        <w:rPr>
          <w:rFonts w:hint="eastAsia"/>
          <w:lang w:val="en-US" w:eastAsia="zh-CN"/>
        </w:rPr>
        <w:t xml:space="preserve">第九条 不应纳入失信被执行人名单的公民、法人或其他组织被纳入失信被执行人名单的，人民法院应当在三个工作日内撤销失信信息。记载和公布的失信被执行人名单信息错误的，人民法院应当在三个工作日内更正失信信息。 </w:t>
      </w:r>
    </w:p>
  </w:footnote>
  <w:footnote w:id="2">
    <w:p w14:paraId="06C8C36E">
      <w:pPr>
        <w:pStyle w:val="5"/>
        <w:keepNext w:val="0"/>
        <w:keepLines/>
        <w:pageBreakBefore w:val="0"/>
        <w:widowControl w:val="0"/>
        <w:kinsoku/>
        <w:wordWrap/>
        <w:overflowPunct/>
        <w:topLinePunct w:val="0"/>
        <w:autoSpaceDE/>
        <w:autoSpaceDN/>
        <w:bidi w:val="0"/>
        <w:adjustRightInd/>
        <w:snapToGrid w:val="0"/>
        <w:textAlignment w:val="auto"/>
      </w:pPr>
      <w:r>
        <w:rPr>
          <w:rStyle w:val="12"/>
        </w:rPr>
        <w:footnoteRef/>
      </w:r>
      <w:r>
        <w:t xml:space="preserve"> </w:t>
      </w:r>
      <w:r>
        <w:rPr>
          <w:rFonts w:hint="eastAsia"/>
        </w:rPr>
        <w:t>《关于公布失信被执行人名单信息的若干规定》</w:t>
      </w:r>
      <w:r>
        <w:rPr>
          <w:rFonts w:hint="eastAsia"/>
          <w:lang w:val="en-US" w:eastAsia="zh-CN"/>
        </w:rPr>
        <w:t>第十条 具有下列情形之一的，人民法院应当在三个工作日内删除失信信息：（一）被执行人已履行生效法律文书确定的义务或人民法院已执行完毕的；（二）当事人达成执行和解协议且已履行完毕的；（三）申请执行人书面申请删除失信信息，人民法院审查同意的；（四）终结本次执行程序后，通过网络执行查控系统查询被执行人财产两次以上，未发现有可供执行财产，且申请执行人或者其他人未提供有效财产线索的；（五）因审判监督或破产程序，人民法院依法裁定对失信被执行人中止执行的；（六）人民法院依法裁定不予执行的；（七）人民法院依法裁定终结执行的。依照本条第一款规定删除失信信息后，被执行人具有本规定第一条规定情形之一的，人民法院可以重新将其纳入失信被执行人名单。依照本条第一款第三项规定删除失信信息后六个月内，申请执行人申请将该被执行人纳入失信被执行人名单的，人民法院不予支持。</w:t>
      </w:r>
    </w:p>
  </w:footnote>
  <w:footnote w:id="3">
    <w:p w14:paraId="7D35F3C5">
      <w:pPr>
        <w:pStyle w:val="5"/>
        <w:snapToGrid w:val="0"/>
      </w:pPr>
      <w:r>
        <w:rPr>
          <w:rStyle w:val="12"/>
        </w:rPr>
        <w:footnoteRef/>
      </w:r>
      <w:r>
        <w:t xml:space="preserve"> </w:t>
      </w:r>
      <w:r>
        <w:rPr>
          <w:rFonts w:hint="eastAsia"/>
        </w:rPr>
        <w:t>高山</w:t>
      </w:r>
      <w:r>
        <w:rPr>
          <w:rFonts w:hint="eastAsia"/>
          <w:lang w:eastAsia="zh-CN"/>
        </w:rPr>
        <w:t>：</w:t>
      </w:r>
      <w:r>
        <w:rPr>
          <w:rFonts w:hint="eastAsia"/>
        </w:rPr>
        <w:t>《失信被执行人名单制度:理论透析、问题维度和改进路径》</w:t>
      </w:r>
      <w:r>
        <w:rPr>
          <w:rFonts w:hint="eastAsia"/>
          <w:lang w:eastAsia="zh-CN"/>
        </w:rPr>
        <w:t>，</w:t>
      </w:r>
      <w:r>
        <w:rPr>
          <w:rFonts w:hint="eastAsia"/>
        </w:rPr>
        <w:t>载《法学论坛》2020年第2期。</w:t>
      </w:r>
    </w:p>
  </w:footnote>
  <w:footnote w:id="4">
    <w:p w14:paraId="0381A03F">
      <w:pPr>
        <w:pStyle w:val="5"/>
        <w:snapToGrid w:val="0"/>
      </w:pPr>
      <w:r>
        <w:rPr>
          <w:rStyle w:val="12"/>
        </w:rPr>
        <w:footnoteRef/>
      </w:r>
      <w:r>
        <w:t xml:space="preserve"> </w:t>
      </w:r>
      <w:r>
        <w:rPr>
          <w:rFonts w:hint="eastAsia"/>
        </w:rPr>
        <w:t xml:space="preserve">2017 年《最高人民法院工作报告》：各级法院采取信用惩戒措施 467 万人次，将 338.5 万名被执行人纳 入失信名单公开曝光，35.9 万人慑于信用惩戒主动履行义务。2018年《最高人民法院工作报告》：全国法 院累计公开失信被执行人信息 996.1 万人次，限制 1014.8 万人次购买机票，限制 391.2 万人次乘坐动车和 高铁，221.5 万人慑于信用惩戒主动履行义务；2019 年《最高人民法院工作报告》：采取 11类 150 项惩戒 措施，让失信被执行人“一处失信、处处受限”，366 万人迫于惩戒压力自动履行义务。 </w:t>
      </w:r>
    </w:p>
  </w:footnote>
  <w:footnote w:id="5">
    <w:p w14:paraId="4013FC70">
      <w:pPr>
        <w:pStyle w:val="5"/>
        <w:snapToGrid w:val="0"/>
        <w:rPr>
          <w:rFonts w:hint="eastAsia"/>
          <w:lang w:eastAsia="zh-CN"/>
        </w:rPr>
      </w:pPr>
      <w:r>
        <w:rPr>
          <w:rStyle w:val="12"/>
        </w:rPr>
        <w:footnoteRef/>
      </w:r>
      <w:r>
        <w:t xml:space="preserve"> </w:t>
      </w:r>
      <w:r>
        <w:rPr>
          <w:rFonts w:hint="eastAsia"/>
          <w:lang w:eastAsia="zh-CN"/>
        </w:rPr>
        <w:t>《</w:t>
      </w:r>
      <w:r>
        <w:rPr>
          <w:rFonts w:hint="default"/>
        </w:rPr>
        <w:t>哈尔滨市中级人民法院 失信被执行人信用修复施办法（试行）</w:t>
      </w:r>
      <w:r>
        <w:rPr>
          <w:rFonts w:hint="eastAsia"/>
          <w:lang w:eastAsia="zh-CN"/>
        </w:rPr>
        <w:t>》第四条：未被纳入全国法院失信被执行人名单的，具有下列情形之一的，经被执行人承诺，人民法院可以给予宽限期，暂缓将其纳入失信被执行人名单:</w:t>
      </w:r>
    </w:p>
    <w:p w14:paraId="5621C6F9">
      <w:pPr>
        <w:pStyle w:val="5"/>
        <w:snapToGrid w:val="0"/>
        <w:rPr>
          <w:rFonts w:hint="eastAsia"/>
          <w:lang w:eastAsia="zh-CN"/>
        </w:rPr>
      </w:pPr>
      <w:r>
        <w:rPr>
          <w:rFonts w:hint="eastAsia"/>
          <w:lang w:eastAsia="zh-CN"/>
        </w:rPr>
        <w:t>   （一）被执行人有充分证据证明有到期债权已进入执行程序的；</w:t>
      </w:r>
    </w:p>
    <w:p w14:paraId="2F409BCB">
      <w:pPr>
        <w:pStyle w:val="5"/>
        <w:snapToGrid w:val="0"/>
        <w:rPr>
          <w:rFonts w:hint="eastAsia"/>
          <w:lang w:eastAsia="zh-CN"/>
        </w:rPr>
      </w:pPr>
      <w:r>
        <w:rPr>
          <w:rFonts w:hint="eastAsia"/>
          <w:lang w:eastAsia="zh-CN"/>
        </w:rPr>
        <w:t>   （二）双方当事人达成执行和解，被执行人承诺按期履行的；</w:t>
      </w:r>
    </w:p>
    <w:p w14:paraId="2D9B84EC">
      <w:pPr>
        <w:pStyle w:val="5"/>
        <w:snapToGrid w:val="0"/>
        <w:rPr>
          <w:rFonts w:hint="eastAsia"/>
          <w:lang w:eastAsia="zh-CN"/>
        </w:rPr>
      </w:pPr>
      <w:r>
        <w:rPr>
          <w:rFonts w:hint="eastAsia"/>
          <w:lang w:eastAsia="zh-CN"/>
        </w:rPr>
        <w:t>   （三）被执行人具有主动履行意愿且提供相应担保的；</w:t>
      </w:r>
    </w:p>
    <w:p w14:paraId="6E12688D">
      <w:pPr>
        <w:pStyle w:val="5"/>
        <w:snapToGrid w:val="0"/>
        <w:rPr>
          <w:rFonts w:hint="eastAsia"/>
          <w:lang w:eastAsia="zh-CN"/>
        </w:rPr>
      </w:pPr>
      <w:r>
        <w:rPr>
          <w:rFonts w:hint="eastAsia"/>
          <w:lang w:eastAsia="zh-CN"/>
        </w:rPr>
        <w:t>   （四）被执行人具有主动履行意愿和履行计划，经营状况良好，相关单位为其预期收益提供担保或提供充分证据证明的；</w:t>
      </w:r>
    </w:p>
    <w:p w14:paraId="677AA21B">
      <w:pPr>
        <w:pStyle w:val="5"/>
        <w:snapToGrid w:val="0"/>
      </w:pPr>
      <w:r>
        <w:rPr>
          <w:rFonts w:hint="eastAsia"/>
          <w:lang w:eastAsia="zh-CN"/>
        </w:rPr>
        <w:t>   （五）人民法院认为应当暂缓纳入失信被执行人名单的其他情形。</w:t>
      </w:r>
    </w:p>
  </w:footnote>
  <w:footnote w:id="6">
    <w:p w14:paraId="1155C07B">
      <w:pPr>
        <w:pStyle w:val="5"/>
        <w:snapToGrid w:val="0"/>
        <w:rPr>
          <w:rFonts w:hint="default" w:eastAsiaTheme="minorEastAsia"/>
          <w:lang w:val="en-US" w:eastAsia="zh-CN"/>
        </w:rPr>
      </w:pPr>
      <w:r>
        <w:rPr>
          <w:rStyle w:val="12"/>
        </w:rPr>
        <w:footnoteRef/>
      </w:r>
      <w:r>
        <w:t xml:space="preserve"> </w:t>
      </w:r>
      <w:r>
        <w:rPr>
          <w:rFonts w:hint="eastAsia"/>
          <w:lang w:val="en-US" w:eastAsia="zh-CN"/>
        </w:rPr>
        <w:t>刘宗胜、张毅：</w:t>
      </w:r>
      <w:r>
        <w:rPr>
          <w:rFonts w:hint="eastAsia"/>
          <w:lang w:eastAsia="zh-CN"/>
        </w:rPr>
        <w:t>《论失信被执行人信用修复的制度完善》，</w:t>
      </w:r>
      <w:r>
        <w:rPr>
          <w:rFonts w:hint="eastAsia"/>
          <w:lang w:val="en-US" w:eastAsia="zh-CN"/>
        </w:rPr>
        <w:t>载《中国信用》2023年第1期。</w:t>
      </w:r>
    </w:p>
  </w:footnote>
  <w:footnote w:id="7">
    <w:p w14:paraId="7C8AC8D4">
      <w:pPr>
        <w:pStyle w:val="5"/>
        <w:snapToGrid w:val="0"/>
        <w:rPr>
          <w:rFonts w:hint="eastAsia" w:eastAsiaTheme="minorEastAsia"/>
          <w:lang w:eastAsia="zh-CN"/>
        </w:rPr>
      </w:pPr>
      <w:r>
        <w:rPr>
          <w:rStyle w:val="12"/>
        </w:rPr>
        <w:footnoteRef/>
      </w:r>
      <w:r>
        <w:t xml:space="preserve"> </w:t>
      </w:r>
      <w:r>
        <w:rPr>
          <w:rFonts w:hint="eastAsia"/>
          <w:lang w:eastAsia="zh-CN"/>
        </w:rPr>
        <w:t>《河南省关于办理减刑假释案件若干问题的规定《试行》》第二十二条：被判处财产性判项的罪犯，有下列情形之一的，可以认定无履行能力：（一）并处罚金的罪犯，由于遭受不可抗拒的灾祸等原因交纳确实有困难，由罪犯或其亲属向人民法院书面申请，经人民法院裁定，可以延期缴纳或者免除的：（二）县级以上民政部门认定罪犯在被判刑前或者罪犯直系亲属、配偶当前系最低生活保障对象或特困人员救助对象，其经核查属实的；（三）对判决没收个人财产，人民法院经查询却无可执行财产的；（四）人民法院作出中止、终结本次执行裁定的。</w:t>
      </w:r>
    </w:p>
  </w:footnote>
  <w:footnote w:id="8">
    <w:p w14:paraId="0119D358">
      <w:pPr>
        <w:pStyle w:val="5"/>
        <w:snapToGrid w:val="0"/>
        <w:rPr>
          <w:rFonts w:hint="default" w:eastAsiaTheme="minorEastAsia"/>
          <w:lang w:val="en-US" w:eastAsia="zh-CN"/>
        </w:rPr>
      </w:pPr>
      <w:r>
        <w:rPr>
          <w:rStyle w:val="12"/>
        </w:rPr>
        <w:footnoteRef/>
      </w:r>
      <w:r>
        <w:t xml:space="preserve"> </w:t>
      </w:r>
      <w:r>
        <w:rPr>
          <w:rFonts w:hint="eastAsia"/>
        </w:rPr>
        <w:t xml:space="preserve"> 程 波</w:t>
      </w:r>
      <w:r>
        <w:rPr>
          <w:rFonts w:hint="eastAsia"/>
          <w:lang w:eastAsia="zh-CN"/>
        </w:rPr>
        <w:t>、</w:t>
      </w:r>
      <w:r>
        <w:rPr>
          <w:rFonts w:hint="eastAsia"/>
        </w:rPr>
        <w:t>龚小瑾</w:t>
      </w:r>
      <w:r>
        <w:rPr>
          <w:rFonts w:hint="eastAsia"/>
          <w:lang w:eastAsia="zh-CN"/>
        </w:rPr>
        <w:t>：《</w:t>
      </w:r>
      <w:r>
        <w:rPr>
          <w:rFonts w:hint="eastAsia"/>
        </w:rPr>
        <w:t>信用修复地方立法研究</w:t>
      </w:r>
      <w:r>
        <w:rPr>
          <w:rFonts w:hint="eastAsia"/>
          <w:lang w:eastAsia="zh-CN"/>
        </w:rPr>
        <w:t>》，《</w:t>
      </w:r>
      <w:r>
        <w:rPr>
          <w:rFonts w:hint="eastAsia"/>
        </w:rPr>
        <w:t>广西政法管理干部学院学报</w:t>
      </w:r>
      <w:r>
        <w:rPr>
          <w:rFonts w:hint="eastAsia"/>
          <w:lang w:eastAsia="zh-CN"/>
        </w:rPr>
        <w:t>》</w:t>
      </w:r>
      <w:r>
        <w:rPr>
          <w:rFonts w:hint="eastAsia"/>
        </w:rPr>
        <w:t>2020</w:t>
      </w:r>
      <w:r>
        <w:rPr>
          <w:rFonts w:hint="eastAsia"/>
          <w:lang w:val="en-US" w:eastAsia="zh-CN"/>
        </w:rPr>
        <w:t>年第3期</w:t>
      </w:r>
    </w:p>
  </w:footnote>
  <w:footnote w:id="9">
    <w:p w14:paraId="2CD1B2A0">
      <w:pPr>
        <w:pStyle w:val="5"/>
        <w:snapToGrid w:val="0"/>
      </w:pPr>
      <w:r>
        <w:rPr>
          <w:rStyle w:val="12"/>
        </w:rPr>
        <w:footnoteRef/>
      </w:r>
      <w:r>
        <w:t xml:space="preserve"> </w:t>
      </w:r>
      <w:r>
        <w:rPr>
          <w:rFonts w:hint="eastAsia"/>
        </w:rPr>
        <w:t>张鲁萍</w:t>
      </w:r>
      <w:r>
        <w:rPr>
          <w:rFonts w:hint="eastAsia"/>
          <w:lang w:eastAsia="zh-CN"/>
        </w:rPr>
        <w:t>：</w:t>
      </w:r>
      <w:r>
        <w:rPr>
          <w:rFonts w:hint="eastAsia"/>
        </w:rPr>
        <w:t>《信用修复的政府责任及其实现机制研究》</w:t>
      </w:r>
      <w:r>
        <w:rPr>
          <w:rFonts w:hint="eastAsia"/>
          <w:lang w:eastAsia="zh-CN"/>
        </w:rPr>
        <w:t>，</w:t>
      </w:r>
      <w:r>
        <w:rPr>
          <w:rFonts w:hint="eastAsia"/>
        </w:rPr>
        <w:t xml:space="preserve">载《河南财经政法大学学报》2021年第5期。 </w:t>
      </w:r>
    </w:p>
  </w:footnote>
  <w:footnote w:id="10">
    <w:p w14:paraId="10F4FE9F">
      <w:pPr>
        <w:pStyle w:val="5"/>
        <w:snapToGrid w:val="0"/>
        <w:rPr>
          <w:rFonts w:hint="default" w:eastAsiaTheme="minorEastAsia"/>
          <w:lang w:val="en-US" w:eastAsia="zh-CN"/>
        </w:rPr>
      </w:pPr>
      <w:r>
        <w:rPr>
          <w:rStyle w:val="12"/>
        </w:rPr>
        <w:footnoteRef/>
      </w:r>
      <w:r>
        <w:t xml:space="preserve"> </w:t>
      </w:r>
      <w:r>
        <w:rPr>
          <w:rFonts w:hint="eastAsia"/>
          <w:lang w:val="en-US" w:eastAsia="zh-CN"/>
        </w:rPr>
        <w:t>陈建华：《论失信被执行人信用修复机制》，载《南华大学学报（社会科学版）》，2023年第3期。</w:t>
      </w:r>
    </w:p>
  </w:footnote>
  <w:footnote w:id="11">
    <w:p w14:paraId="2E1169D8">
      <w:pPr>
        <w:pStyle w:val="5"/>
        <w:snapToGrid w:val="0"/>
        <w:rPr>
          <w:rFonts w:hint="eastAsia" w:eastAsia="宋体"/>
          <w:lang w:val="en-US" w:eastAsia="zh-CN"/>
        </w:rPr>
      </w:pPr>
      <w:r>
        <w:rPr>
          <w:rStyle w:val="12"/>
        </w:rPr>
        <w:footnoteRef/>
      </w:r>
      <w:r>
        <w:rPr>
          <w:rFonts w:hint="eastAsia"/>
          <w:lang w:eastAsia="zh-CN"/>
        </w:rPr>
        <w:t>《</w:t>
      </w:r>
      <w:r>
        <w:rPr>
          <w:rFonts w:hint="eastAsia"/>
        </w:rPr>
        <w:t>我国探索建立信用修复机制</w:t>
      </w:r>
      <w:r>
        <w:rPr>
          <w:rFonts w:hint="eastAsia"/>
          <w:lang w:eastAsia="zh-CN"/>
        </w:rPr>
        <w:t>》，</w:t>
      </w:r>
      <w:r>
        <w:rPr>
          <w:rFonts w:hint="eastAsia"/>
          <w:lang w:val="en-US" w:eastAsia="zh-CN"/>
        </w:rPr>
        <w:t>载https://www.gov.cn/zhengce/2019-07/18/，2019年07月18日发布。</w:t>
      </w:r>
    </w:p>
    <w:p w14:paraId="27A805AA">
      <w:pPr>
        <w:pStyle w:val="5"/>
        <w:snapToGrid w:val="0"/>
      </w:pPr>
    </w:p>
  </w:footnote>
  <w:footnote w:id="12">
    <w:p w14:paraId="66387D57">
      <w:pPr>
        <w:pStyle w:val="5"/>
        <w:snapToGrid w:val="0"/>
        <w:rPr>
          <w:rFonts w:hint="default" w:eastAsiaTheme="minorEastAsia"/>
          <w:lang w:val="en-US" w:eastAsia="zh-CN"/>
        </w:rPr>
      </w:pPr>
      <w:r>
        <w:rPr>
          <w:rStyle w:val="12"/>
        </w:rPr>
        <w:footnoteRef/>
      </w:r>
      <w:r>
        <w:t xml:space="preserve"> </w:t>
      </w:r>
      <w:r>
        <w:rPr>
          <w:rFonts w:hint="eastAsia"/>
        </w:rPr>
        <w:t>王伟</w:t>
      </w:r>
      <w:r>
        <w:rPr>
          <w:rFonts w:hint="eastAsia"/>
          <w:lang w:eastAsia="zh-CN"/>
        </w:rPr>
        <w:t>：《</w:t>
      </w:r>
      <w:r>
        <w:rPr>
          <w:rFonts w:hint="eastAsia"/>
        </w:rPr>
        <w:t>失信惩戒的类型化规制研究:兼论社会信用法的规则设计</w:t>
      </w:r>
      <w:r>
        <w:rPr>
          <w:rFonts w:hint="eastAsia"/>
          <w:lang w:eastAsia="zh-CN"/>
        </w:rPr>
        <w:t>》，</w:t>
      </w:r>
      <w:r>
        <w:rPr>
          <w:rFonts w:hint="eastAsia"/>
          <w:lang w:val="en-US" w:eastAsia="zh-CN"/>
        </w:rPr>
        <w:t>在《</w:t>
      </w:r>
      <w:r>
        <w:rPr>
          <w:rFonts w:hint="eastAsia"/>
        </w:rPr>
        <w:t>中州学刊</w:t>
      </w:r>
      <w:r>
        <w:rPr>
          <w:rFonts w:hint="eastAsia"/>
          <w:lang w:eastAsia="zh-CN"/>
        </w:rPr>
        <w:t>》</w:t>
      </w:r>
      <w:r>
        <w:rPr>
          <w:rFonts w:hint="eastAsia"/>
        </w:rPr>
        <w:t>2019</w:t>
      </w:r>
      <w:r>
        <w:rPr>
          <w:rFonts w:hint="eastAsia"/>
          <w:lang w:val="en-US" w:eastAsia="zh-CN"/>
        </w:rPr>
        <w:t>年第5期</w:t>
      </w:r>
    </w:p>
  </w:footnote>
  <w:footnote w:id="13">
    <w:p w14:paraId="58868781">
      <w:pPr>
        <w:pStyle w:val="5"/>
        <w:snapToGrid w:val="0"/>
        <w:rPr>
          <w:rFonts w:hint="default" w:eastAsiaTheme="minorEastAsia"/>
          <w:lang w:val="en-US" w:eastAsia="zh-CN"/>
        </w:rPr>
      </w:pPr>
      <w:r>
        <w:rPr>
          <w:rStyle w:val="12"/>
        </w:rPr>
        <w:footnoteRef/>
      </w:r>
      <w:r>
        <w:t xml:space="preserve"> </w:t>
      </w:r>
      <w:r>
        <w:rPr>
          <w:rFonts w:hint="eastAsia"/>
        </w:rPr>
        <w:t>闫 海</w:t>
      </w:r>
      <w:r>
        <w:rPr>
          <w:rFonts w:hint="eastAsia"/>
          <w:lang w:eastAsia="zh-CN"/>
        </w:rPr>
        <w:t>、</w:t>
      </w:r>
      <w:r>
        <w:rPr>
          <w:rFonts w:hint="eastAsia"/>
        </w:rPr>
        <w:t>王天依</w:t>
      </w:r>
      <w:r>
        <w:rPr>
          <w:rFonts w:hint="eastAsia"/>
          <w:lang w:eastAsia="zh-CN"/>
        </w:rPr>
        <w:t>：《</w:t>
      </w:r>
      <w:r>
        <w:rPr>
          <w:rFonts w:hint="eastAsia"/>
        </w:rPr>
        <w:t>论重整企业信用修复的特征、机制与方式</w:t>
      </w:r>
      <w:r>
        <w:rPr>
          <w:rFonts w:hint="eastAsia"/>
          <w:lang w:eastAsia="zh-CN"/>
        </w:rPr>
        <w:t>》，《</w:t>
      </w:r>
      <w:r>
        <w:rPr>
          <w:rFonts w:hint="eastAsia"/>
        </w:rPr>
        <w:t>征信</w:t>
      </w:r>
      <w:r>
        <w:rPr>
          <w:rFonts w:hint="eastAsia"/>
          <w:lang w:eastAsia="zh-CN"/>
        </w:rPr>
        <w:t>》</w:t>
      </w:r>
      <w:r>
        <w:rPr>
          <w:rFonts w:hint="eastAsia"/>
        </w:rPr>
        <w:t>2021</w:t>
      </w:r>
      <w:r>
        <w:rPr>
          <w:rFonts w:hint="eastAsia"/>
          <w:lang w:val="en-US" w:eastAsia="zh-CN"/>
        </w:rPr>
        <w:t>年第1期</w:t>
      </w:r>
    </w:p>
  </w:footnote>
  <w:footnote w:id="14">
    <w:p w14:paraId="35A721E0">
      <w:pPr>
        <w:pStyle w:val="5"/>
        <w:snapToGrid w:val="0"/>
      </w:pPr>
      <w:r>
        <w:rPr>
          <w:rStyle w:val="12"/>
        </w:rPr>
        <w:footnoteRef/>
      </w:r>
      <w:r>
        <w:t xml:space="preserve"> </w:t>
      </w:r>
      <w:r>
        <w:rPr>
          <w:rFonts w:hint="eastAsia"/>
        </w:rPr>
        <w:t>解志勇</w:t>
      </w:r>
      <w:r>
        <w:rPr>
          <w:rFonts w:hint="eastAsia"/>
          <w:lang w:eastAsia="zh-CN"/>
        </w:rPr>
        <w:t>、</w:t>
      </w:r>
      <w:r>
        <w:rPr>
          <w:rFonts w:hint="eastAsia"/>
        </w:rPr>
        <w:t>王晓淑</w:t>
      </w:r>
      <w:r>
        <w:rPr>
          <w:rFonts w:hint="eastAsia"/>
          <w:lang w:eastAsia="zh-CN"/>
        </w:rPr>
        <w:t>：</w:t>
      </w:r>
      <w:r>
        <w:rPr>
          <w:rFonts w:hint="eastAsia"/>
        </w:rPr>
        <w:t>《正当程序视阈下信用修复机制研究》</w:t>
      </w:r>
      <w:r>
        <w:rPr>
          <w:rFonts w:hint="eastAsia"/>
          <w:lang w:eastAsia="zh-CN"/>
        </w:rPr>
        <w:t>，</w:t>
      </w:r>
      <w:r>
        <w:rPr>
          <w:rFonts w:hint="eastAsia"/>
        </w:rPr>
        <w:t xml:space="preserve">载《中国海商法研究》2021年第3期。 </w:t>
      </w:r>
    </w:p>
  </w:footnote>
  <w:footnote w:id="15">
    <w:p w14:paraId="7A5CDAAD">
      <w:pPr>
        <w:pStyle w:val="5"/>
        <w:snapToGrid w:val="0"/>
        <w:rPr>
          <w:rFonts w:hint="default" w:eastAsiaTheme="minorEastAsia"/>
          <w:lang w:val="en-US" w:eastAsia="zh-CN"/>
        </w:rPr>
      </w:pPr>
      <w:r>
        <w:rPr>
          <w:rStyle w:val="12"/>
        </w:rPr>
        <w:footnoteRef/>
      </w:r>
      <w:r>
        <w:t xml:space="preserve"> </w:t>
      </w:r>
      <w:r>
        <w:rPr>
          <w:rFonts w:hint="eastAsia"/>
        </w:rPr>
        <w:t>柯林霞</w:t>
      </w:r>
      <w:r>
        <w:rPr>
          <w:rFonts w:hint="eastAsia"/>
          <w:lang w:eastAsia="zh-CN"/>
        </w:rPr>
        <w:t>：《</w:t>
      </w:r>
      <w:r>
        <w:rPr>
          <w:rFonts w:hint="eastAsia"/>
        </w:rPr>
        <w:t>失信惩戒制度下失信行为的范围及限度</w:t>
      </w:r>
      <w:r>
        <w:rPr>
          <w:rFonts w:hint="eastAsia"/>
          <w:lang w:eastAsia="zh-CN"/>
        </w:rPr>
        <w:t>》，《</w:t>
      </w:r>
      <w:r>
        <w:rPr>
          <w:rFonts w:hint="eastAsia"/>
        </w:rPr>
        <w:t>河南社会科学</w:t>
      </w:r>
      <w:r>
        <w:rPr>
          <w:rFonts w:hint="eastAsia"/>
          <w:lang w:eastAsia="zh-CN"/>
        </w:rPr>
        <w:t>》</w:t>
      </w:r>
      <w:r>
        <w:rPr>
          <w:rFonts w:hint="eastAsia"/>
        </w:rPr>
        <w:t>2021</w:t>
      </w:r>
      <w:r>
        <w:rPr>
          <w:rFonts w:hint="eastAsia"/>
          <w:lang w:val="en-US" w:eastAsia="zh-CN"/>
        </w:rPr>
        <w:t>年第1期</w:t>
      </w:r>
    </w:p>
  </w:footnote>
  <w:footnote w:id="16">
    <w:p w14:paraId="7313E249">
      <w:pPr>
        <w:pStyle w:val="5"/>
        <w:snapToGrid w:val="0"/>
      </w:pPr>
      <w:r>
        <w:rPr>
          <w:rStyle w:val="12"/>
        </w:rPr>
        <w:footnoteRef/>
      </w:r>
      <w:r>
        <w:t xml:space="preserve"> </w:t>
      </w:r>
      <w:r>
        <w:rPr>
          <w:rFonts w:hint="eastAsia"/>
        </w:rPr>
        <w:t>吴晶妹</w:t>
      </w:r>
      <w:r>
        <w:rPr>
          <w:rFonts w:hint="eastAsia"/>
          <w:lang w:eastAsia="zh-CN"/>
        </w:rPr>
        <w:t>：《</w:t>
      </w:r>
      <w:r>
        <w:rPr>
          <w:rFonts w:hint="eastAsia"/>
        </w:rPr>
        <w:t>开展信用修复工作的现实意义与路径</w:t>
      </w:r>
      <w:r>
        <w:rPr>
          <w:rFonts w:hint="eastAsia"/>
          <w:lang w:eastAsia="zh-CN"/>
        </w:rPr>
        <w:t>》，</w:t>
      </w:r>
      <w:r>
        <w:rPr>
          <w:rFonts w:hint="eastAsia"/>
          <w:lang w:val="en-US" w:eastAsia="zh-CN"/>
        </w:rPr>
        <w:t>载《</w:t>
      </w:r>
      <w:r>
        <w:rPr>
          <w:rFonts w:hint="eastAsia"/>
        </w:rPr>
        <w:t>中国信用</w:t>
      </w:r>
      <w:r>
        <w:rPr>
          <w:rFonts w:hint="eastAsia"/>
          <w:lang w:eastAsia="zh-CN"/>
        </w:rPr>
        <w:t>》</w:t>
      </w:r>
      <w:r>
        <w:rPr>
          <w:rFonts w:hint="eastAsia"/>
        </w:rPr>
        <w:t>2019</w:t>
      </w:r>
      <w:r>
        <w:rPr>
          <w:rFonts w:hint="eastAsia"/>
          <w:lang w:val="en-US" w:eastAsia="zh-CN"/>
        </w:rPr>
        <w:t>年第8期。</w:t>
      </w:r>
      <w:r>
        <w:rPr>
          <w:rFonts w:hint="eastAsia"/>
        </w:rPr>
        <w:t xml:space="preserve"> </w:t>
      </w:r>
    </w:p>
  </w:footnote>
  <w:footnote w:id="17">
    <w:p w14:paraId="1BC6E998">
      <w:pPr>
        <w:pStyle w:val="5"/>
        <w:snapToGrid w:val="0"/>
        <w:rPr>
          <w:rFonts w:hint="default" w:eastAsiaTheme="minorEastAsia"/>
          <w:lang w:val="en-US" w:eastAsia="zh-CN"/>
        </w:rPr>
      </w:pPr>
      <w:r>
        <w:rPr>
          <w:rStyle w:val="12"/>
        </w:rPr>
        <w:footnoteRef/>
      </w:r>
      <w:r>
        <w:t xml:space="preserve"> </w:t>
      </w:r>
      <w:r>
        <w:rPr>
          <w:rFonts w:hint="eastAsia"/>
        </w:rPr>
        <w:t xml:space="preserve"> 许建飞</w:t>
      </w:r>
      <w:r>
        <w:rPr>
          <w:rFonts w:hint="eastAsia"/>
          <w:lang w:eastAsia="zh-CN"/>
        </w:rPr>
        <w:t>、</w:t>
      </w:r>
      <w:r>
        <w:rPr>
          <w:rFonts w:hint="eastAsia"/>
        </w:rPr>
        <w:t>赵伊</w:t>
      </w:r>
      <w:r>
        <w:rPr>
          <w:rFonts w:hint="eastAsia"/>
          <w:lang w:eastAsia="zh-CN"/>
        </w:rPr>
        <w:t>：《失信被执行人信用修复机制的优化路径 ——以扬州法院2016年至2020年失信惩戒与 信用修复数据为例》，</w:t>
      </w:r>
      <w:r>
        <w:rPr>
          <w:rFonts w:hint="eastAsia"/>
          <w:lang w:val="en-US" w:eastAsia="zh-CN"/>
        </w:rPr>
        <w:t>载《内蒙古农业大学学报（社会科学版》2022年第4期</w:t>
      </w:r>
    </w:p>
  </w:footnote>
  <w:footnote w:id="18">
    <w:p w14:paraId="2EDAC7D0">
      <w:pPr>
        <w:pStyle w:val="5"/>
        <w:snapToGrid w:val="0"/>
      </w:pPr>
      <w:r>
        <w:rPr>
          <w:rStyle w:val="12"/>
        </w:rPr>
        <w:footnoteRef/>
      </w:r>
      <w:r>
        <w:t xml:space="preserve"> </w:t>
      </w:r>
      <w:r>
        <w:rPr>
          <w:rFonts w:hint="eastAsia"/>
        </w:rPr>
        <w:t>谭波</w:t>
      </w:r>
      <w:r>
        <w:rPr>
          <w:rFonts w:hint="eastAsia"/>
          <w:lang w:eastAsia="zh-CN"/>
        </w:rPr>
        <w:t>：</w:t>
      </w:r>
      <w:r>
        <w:rPr>
          <w:rFonts w:hint="eastAsia"/>
        </w:rPr>
        <w:t>《信用修复的权利属性、发展路径及权利构造》</w:t>
      </w:r>
      <w:r>
        <w:rPr>
          <w:rFonts w:hint="eastAsia"/>
          <w:lang w:eastAsia="zh-CN"/>
        </w:rPr>
        <w:t>，</w:t>
      </w:r>
      <w:r>
        <w:rPr>
          <w:rFonts w:hint="eastAsia"/>
        </w:rPr>
        <w:t xml:space="preserve">载《辽宁师范大学学报》2021年第2期。 </w:t>
      </w:r>
    </w:p>
  </w:footnote>
  <w:footnote w:id="19">
    <w:p w14:paraId="558F9A79">
      <w:pPr>
        <w:pStyle w:val="5"/>
        <w:snapToGrid w:val="0"/>
      </w:pPr>
      <w:r>
        <w:rPr>
          <w:rStyle w:val="12"/>
        </w:rPr>
        <w:footnoteRef/>
      </w:r>
      <w:r>
        <w:t xml:space="preserve"> </w:t>
      </w:r>
      <w:r>
        <w:rPr>
          <w:rFonts w:hint="eastAsia"/>
        </w:rPr>
        <w:t>卢护锋</w:t>
      </w:r>
      <w:r>
        <w:rPr>
          <w:rFonts w:hint="eastAsia"/>
          <w:lang w:eastAsia="zh-CN"/>
        </w:rPr>
        <w:t>：</w:t>
      </w:r>
      <w:r>
        <w:rPr>
          <w:rFonts w:hint="eastAsia"/>
        </w:rPr>
        <w:t>《信用修复的实践误区及其立法应对》</w:t>
      </w:r>
      <w:r>
        <w:rPr>
          <w:rFonts w:hint="eastAsia"/>
          <w:lang w:eastAsia="zh-CN"/>
        </w:rPr>
        <w:t>，</w:t>
      </w:r>
      <w:r>
        <w:rPr>
          <w:rFonts w:hint="eastAsia"/>
        </w:rPr>
        <w:t xml:space="preserve">载《广东社会科学》2020年第6期。 </w:t>
      </w:r>
    </w:p>
  </w:footnote>
  <w:footnote w:id="20">
    <w:p w14:paraId="77DA8CAD">
      <w:pPr>
        <w:pStyle w:val="5"/>
        <w:snapToGrid w:val="0"/>
      </w:pPr>
      <w:r>
        <w:rPr>
          <w:rStyle w:val="12"/>
        </w:rPr>
        <w:footnoteRef/>
      </w:r>
      <w:r>
        <w:t xml:space="preserve"> </w:t>
      </w:r>
      <w:r>
        <w:rPr>
          <w:rFonts w:hint="eastAsia"/>
        </w:rPr>
        <w:t>许佩华</w:t>
      </w:r>
      <w:r>
        <w:rPr>
          <w:rFonts w:hint="eastAsia"/>
          <w:lang w:eastAsia="zh-CN"/>
        </w:rPr>
        <w:t>：</w:t>
      </w:r>
      <w:r>
        <w:rPr>
          <w:rFonts w:hint="eastAsia"/>
        </w:rPr>
        <w:t>《社会信用体系建设与解决“执行难”》</w:t>
      </w:r>
      <w:r>
        <w:rPr>
          <w:rFonts w:hint="eastAsia"/>
          <w:lang w:eastAsia="zh-CN"/>
        </w:rPr>
        <w:t>，</w:t>
      </w:r>
      <w:r>
        <w:rPr>
          <w:rFonts w:hint="eastAsia"/>
        </w:rPr>
        <w:t>载《中国司法》2012年第9期。</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0360E6"/>
    <w:multiLevelType w:val="singleLevel"/>
    <w:tmpl w:val="8C0360E6"/>
    <w:lvl w:ilvl="0" w:tentative="0">
      <w:start w:val="5"/>
      <w:numFmt w:val="chineseCounting"/>
      <w:suff w:val="nothing"/>
      <w:lvlText w:val="（%1）"/>
      <w:lvlJc w:val="left"/>
      <w:rPr>
        <w:rFonts w:hint="eastAsia"/>
      </w:rPr>
    </w:lvl>
  </w:abstractNum>
  <w:abstractNum w:abstractNumId="1">
    <w:nsid w:val="31D27278"/>
    <w:multiLevelType w:val="singleLevel"/>
    <w:tmpl w:val="31D27278"/>
    <w:lvl w:ilvl="0" w:tentative="0">
      <w:start w:val="1"/>
      <w:numFmt w:val="decimal"/>
      <w:suff w:val="nothing"/>
      <w:lvlText w:val="（%1）"/>
      <w:lvlJc w:val="left"/>
    </w:lvl>
  </w:abstractNum>
  <w:abstractNum w:abstractNumId="2">
    <w:nsid w:val="67019B50"/>
    <w:multiLevelType w:val="singleLevel"/>
    <w:tmpl w:val="67019B50"/>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numFmt w:val="decimalEnclosedCircleChinese"/>
    <w:numRestart w:val="eachPage"/>
    <w:footnote w:id="42"/>
    <w:footnote w:id="43"/>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D4E45"/>
    <w:rsid w:val="0071144A"/>
    <w:rsid w:val="00A46882"/>
    <w:rsid w:val="00E645F8"/>
    <w:rsid w:val="018710C2"/>
    <w:rsid w:val="024C7E85"/>
    <w:rsid w:val="03101E00"/>
    <w:rsid w:val="032A4C70"/>
    <w:rsid w:val="03B409DD"/>
    <w:rsid w:val="041F13A9"/>
    <w:rsid w:val="04284E45"/>
    <w:rsid w:val="04664D07"/>
    <w:rsid w:val="04891E6A"/>
    <w:rsid w:val="04B16D8D"/>
    <w:rsid w:val="0534627A"/>
    <w:rsid w:val="05A773A6"/>
    <w:rsid w:val="05B13426"/>
    <w:rsid w:val="05C869C2"/>
    <w:rsid w:val="06B25D9A"/>
    <w:rsid w:val="06D373CC"/>
    <w:rsid w:val="07973BC0"/>
    <w:rsid w:val="07FF7612"/>
    <w:rsid w:val="08EF6414"/>
    <w:rsid w:val="09371E95"/>
    <w:rsid w:val="095567BF"/>
    <w:rsid w:val="09D27E0F"/>
    <w:rsid w:val="0AC12C77"/>
    <w:rsid w:val="0AE20526"/>
    <w:rsid w:val="0B106E41"/>
    <w:rsid w:val="0CDD2D53"/>
    <w:rsid w:val="0CFA1B57"/>
    <w:rsid w:val="0D0D3E9F"/>
    <w:rsid w:val="0D110FB4"/>
    <w:rsid w:val="0D312A22"/>
    <w:rsid w:val="0D70350D"/>
    <w:rsid w:val="0E76345F"/>
    <w:rsid w:val="0FD33CC7"/>
    <w:rsid w:val="104A1DE8"/>
    <w:rsid w:val="105A46BB"/>
    <w:rsid w:val="10677000"/>
    <w:rsid w:val="10E02E12"/>
    <w:rsid w:val="111C4F5F"/>
    <w:rsid w:val="112C4333"/>
    <w:rsid w:val="1182211B"/>
    <w:rsid w:val="118C1F64"/>
    <w:rsid w:val="11F633E0"/>
    <w:rsid w:val="123553DF"/>
    <w:rsid w:val="12AF30A9"/>
    <w:rsid w:val="12F34FAA"/>
    <w:rsid w:val="130A1EFB"/>
    <w:rsid w:val="133631BD"/>
    <w:rsid w:val="13A10F7E"/>
    <w:rsid w:val="13A724E6"/>
    <w:rsid w:val="13DA2174"/>
    <w:rsid w:val="13F55C8A"/>
    <w:rsid w:val="13FF9BEC"/>
    <w:rsid w:val="144441CB"/>
    <w:rsid w:val="14446456"/>
    <w:rsid w:val="15EC7525"/>
    <w:rsid w:val="165F1806"/>
    <w:rsid w:val="16BE3BF5"/>
    <w:rsid w:val="16BE4BCD"/>
    <w:rsid w:val="170F4451"/>
    <w:rsid w:val="17E71422"/>
    <w:rsid w:val="17F9EA61"/>
    <w:rsid w:val="18B828C6"/>
    <w:rsid w:val="18ED431E"/>
    <w:rsid w:val="1A2F64A6"/>
    <w:rsid w:val="1A3E0C4A"/>
    <w:rsid w:val="1A840CB2"/>
    <w:rsid w:val="1A8C24CF"/>
    <w:rsid w:val="1B0B3662"/>
    <w:rsid w:val="1BBAAE2C"/>
    <w:rsid w:val="1BEE6CF1"/>
    <w:rsid w:val="1CC1706A"/>
    <w:rsid w:val="1CD001DE"/>
    <w:rsid w:val="1D091942"/>
    <w:rsid w:val="1D28494A"/>
    <w:rsid w:val="1DFFA48A"/>
    <w:rsid w:val="1EE83E90"/>
    <w:rsid w:val="1F316F2E"/>
    <w:rsid w:val="1F737AFF"/>
    <w:rsid w:val="1FB54991"/>
    <w:rsid w:val="1FFFC700"/>
    <w:rsid w:val="207666AF"/>
    <w:rsid w:val="20E57FD0"/>
    <w:rsid w:val="212A34AC"/>
    <w:rsid w:val="228A7CE8"/>
    <w:rsid w:val="22C65D48"/>
    <w:rsid w:val="22CD2FE3"/>
    <w:rsid w:val="23073613"/>
    <w:rsid w:val="233F77B6"/>
    <w:rsid w:val="23C10B04"/>
    <w:rsid w:val="23DB50A3"/>
    <w:rsid w:val="25675458"/>
    <w:rsid w:val="25900E53"/>
    <w:rsid w:val="25C27A5B"/>
    <w:rsid w:val="26414749"/>
    <w:rsid w:val="26E732CC"/>
    <w:rsid w:val="271B27C2"/>
    <w:rsid w:val="27AB18B8"/>
    <w:rsid w:val="27B20114"/>
    <w:rsid w:val="27F34477"/>
    <w:rsid w:val="27F575EE"/>
    <w:rsid w:val="28215D92"/>
    <w:rsid w:val="286914E7"/>
    <w:rsid w:val="29287E75"/>
    <w:rsid w:val="296028EA"/>
    <w:rsid w:val="299F6D8D"/>
    <w:rsid w:val="2A97058D"/>
    <w:rsid w:val="2A9767DF"/>
    <w:rsid w:val="2B7BFF2E"/>
    <w:rsid w:val="2B872A7E"/>
    <w:rsid w:val="2B88657B"/>
    <w:rsid w:val="2BF612E4"/>
    <w:rsid w:val="2C866B0B"/>
    <w:rsid w:val="2C881BB9"/>
    <w:rsid w:val="2CAE1BBE"/>
    <w:rsid w:val="2CC338BC"/>
    <w:rsid w:val="2CCF5C44"/>
    <w:rsid w:val="2CFF122C"/>
    <w:rsid w:val="2D5749F4"/>
    <w:rsid w:val="2DAF6521"/>
    <w:rsid w:val="2DD725C3"/>
    <w:rsid w:val="2DDFE999"/>
    <w:rsid w:val="2E732C1C"/>
    <w:rsid w:val="2E8919DF"/>
    <w:rsid w:val="2F0E6B0F"/>
    <w:rsid w:val="2F1537E1"/>
    <w:rsid w:val="2F1819BF"/>
    <w:rsid w:val="2F6804DA"/>
    <w:rsid w:val="2F7E7F6E"/>
    <w:rsid w:val="303F3079"/>
    <w:rsid w:val="30A734F4"/>
    <w:rsid w:val="31064E1B"/>
    <w:rsid w:val="31A657B7"/>
    <w:rsid w:val="31E812EF"/>
    <w:rsid w:val="3227669B"/>
    <w:rsid w:val="32D12B51"/>
    <w:rsid w:val="333D5A4A"/>
    <w:rsid w:val="334D7C31"/>
    <w:rsid w:val="338B4A07"/>
    <w:rsid w:val="33C17264"/>
    <w:rsid w:val="3431735D"/>
    <w:rsid w:val="34974CA2"/>
    <w:rsid w:val="34B00BC9"/>
    <w:rsid w:val="34CC3529"/>
    <w:rsid w:val="35635C3C"/>
    <w:rsid w:val="35670E4B"/>
    <w:rsid w:val="35725E7F"/>
    <w:rsid w:val="359F50FB"/>
    <w:rsid w:val="35E84393"/>
    <w:rsid w:val="35F95D44"/>
    <w:rsid w:val="360D5BA8"/>
    <w:rsid w:val="366A679E"/>
    <w:rsid w:val="36C22E36"/>
    <w:rsid w:val="37227F84"/>
    <w:rsid w:val="375D0402"/>
    <w:rsid w:val="37653210"/>
    <w:rsid w:val="379D3B64"/>
    <w:rsid w:val="37B54749"/>
    <w:rsid w:val="37DC7F27"/>
    <w:rsid w:val="37F23446"/>
    <w:rsid w:val="38832151"/>
    <w:rsid w:val="38B6802B"/>
    <w:rsid w:val="391E27CC"/>
    <w:rsid w:val="39F71049"/>
    <w:rsid w:val="3A233BEC"/>
    <w:rsid w:val="3A8675FC"/>
    <w:rsid w:val="3B40257B"/>
    <w:rsid w:val="3B781D15"/>
    <w:rsid w:val="3BAB1442"/>
    <w:rsid w:val="3CAC611A"/>
    <w:rsid w:val="3CD01D66"/>
    <w:rsid w:val="3D7553F6"/>
    <w:rsid w:val="3D801210"/>
    <w:rsid w:val="3D9077EA"/>
    <w:rsid w:val="3E740EBA"/>
    <w:rsid w:val="3F4C020D"/>
    <w:rsid w:val="3F6D1959"/>
    <w:rsid w:val="3F79434E"/>
    <w:rsid w:val="3F9B6CD3"/>
    <w:rsid w:val="3FBF211E"/>
    <w:rsid w:val="3FBFC69C"/>
    <w:rsid w:val="3FFD9706"/>
    <w:rsid w:val="402C501C"/>
    <w:rsid w:val="412D2E42"/>
    <w:rsid w:val="4157061F"/>
    <w:rsid w:val="416C54FE"/>
    <w:rsid w:val="42984A4B"/>
    <w:rsid w:val="434D5DE3"/>
    <w:rsid w:val="4356456E"/>
    <w:rsid w:val="435968D0"/>
    <w:rsid w:val="43727992"/>
    <w:rsid w:val="43EB0944"/>
    <w:rsid w:val="44023440"/>
    <w:rsid w:val="45F14AFA"/>
    <w:rsid w:val="465564F0"/>
    <w:rsid w:val="46876520"/>
    <w:rsid w:val="478B2DD0"/>
    <w:rsid w:val="48802209"/>
    <w:rsid w:val="48893243"/>
    <w:rsid w:val="490E3CB9"/>
    <w:rsid w:val="492F34BB"/>
    <w:rsid w:val="495A5150"/>
    <w:rsid w:val="49F6594A"/>
    <w:rsid w:val="4A6043AD"/>
    <w:rsid w:val="4A842484"/>
    <w:rsid w:val="4A9B77CE"/>
    <w:rsid w:val="4A9D3546"/>
    <w:rsid w:val="4ACD6283"/>
    <w:rsid w:val="4AE7656F"/>
    <w:rsid w:val="4AF313B8"/>
    <w:rsid w:val="4AF51315"/>
    <w:rsid w:val="4B2C0426"/>
    <w:rsid w:val="4B70304B"/>
    <w:rsid w:val="4BCF5981"/>
    <w:rsid w:val="4BE84A5C"/>
    <w:rsid w:val="4C96649F"/>
    <w:rsid w:val="4CD0577A"/>
    <w:rsid w:val="4CE53F68"/>
    <w:rsid w:val="4DC64086"/>
    <w:rsid w:val="4E254B9F"/>
    <w:rsid w:val="4E3C6544"/>
    <w:rsid w:val="4E9764FE"/>
    <w:rsid w:val="4EB7477F"/>
    <w:rsid w:val="4EC76DE4"/>
    <w:rsid w:val="4EF0D15A"/>
    <w:rsid w:val="4F053468"/>
    <w:rsid w:val="4F6EF0AA"/>
    <w:rsid w:val="4F7A19C2"/>
    <w:rsid w:val="4F7D56F4"/>
    <w:rsid w:val="4FB82BD0"/>
    <w:rsid w:val="4FBF176B"/>
    <w:rsid w:val="4FD95020"/>
    <w:rsid w:val="4FEF63E1"/>
    <w:rsid w:val="4FF7DD6D"/>
    <w:rsid w:val="504615C1"/>
    <w:rsid w:val="50BF2EA2"/>
    <w:rsid w:val="50C11611"/>
    <w:rsid w:val="50D67F89"/>
    <w:rsid w:val="50FE0AB7"/>
    <w:rsid w:val="517D7C2E"/>
    <w:rsid w:val="51C4585C"/>
    <w:rsid w:val="52666914"/>
    <w:rsid w:val="52A26557"/>
    <w:rsid w:val="52D47D21"/>
    <w:rsid w:val="52E77226"/>
    <w:rsid w:val="536BF1AC"/>
    <w:rsid w:val="53A858DA"/>
    <w:rsid w:val="54A0435F"/>
    <w:rsid w:val="54BB34D2"/>
    <w:rsid w:val="54D73AF9"/>
    <w:rsid w:val="54F242B2"/>
    <w:rsid w:val="55454B31"/>
    <w:rsid w:val="558570B1"/>
    <w:rsid w:val="55FB4FCC"/>
    <w:rsid w:val="55FE47EF"/>
    <w:rsid w:val="567E9BC9"/>
    <w:rsid w:val="56D24439"/>
    <w:rsid w:val="579161E1"/>
    <w:rsid w:val="579D4B86"/>
    <w:rsid w:val="58752416"/>
    <w:rsid w:val="59266DFD"/>
    <w:rsid w:val="5960230F"/>
    <w:rsid w:val="5A5E7180"/>
    <w:rsid w:val="5A8C0EE1"/>
    <w:rsid w:val="5ABE6917"/>
    <w:rsid w:val="5AE14D89"/>
    <w:rsid w:val="5AFBA595"/>
    <w:rsid w:val="5BB56D2A"/>
    <w:rsid w:val="5C5164B6"/>
    <w:rsid w:val="5D172CE4"/>
    <w:rsid w:val="5D1E2E59"/>
    <w:rsid w:val="5D1F5A38"/>
    <w:rsid w:val="5D213B63"/>
    <w:rsid w:val="5D431D2B"/>
    <w:rsid w:val="5D4D548B"/>
    <w:rsid w:val="5D8107C2"/>
    <w:rsid w:val="5DA54794"/>
    <w:rsid w:val="5E2C2FD5"/>
    <w:rsid w:val="5E631F59"/>
    <w:rsid w:val="5E7EE01B"/>
    <w:rsid w:val="5EB10392"/>
    <w:rsid w:val="5F5C101E"/>
    <w:rsid w:val="5F8F7F44"/>
    <w:rsid w:val="5FB76CC3"/>
    <w:rsid w:val="60BD541E"/>
    <w:rsid w:val="61055A2F"/>
    <w:rsid w:val="619B2980"/>
    <w:rsid w:val="61E80890"/>
    <w:rsid w:val="6308535A"/>
    <w:rsid w:val="63402869"/>
    <w:rsid w:val="63A13506"/>
    <w:rsid w:val="63C139AA"/>
    <w:rsid w:val="63D4FF0A"/>
    <w:rsid w:val="64137F7D"/>
    <w:rsid w:val="64372C30"/>
    <w:rsid w:val="64506699"/>
    <w:rsid w:val="645C6A76"/>
    <w:rsid w:val="64A15BDC"/>
    <w:rsid w:val="64E57B6C"/>
    <w:rsid w:val="655F4494"/>
    <w:rsid w:val="657D20B2"/>
    <w:rsid w:val="65FA13F5"/>
    <w:rsid w:val="65FF9F8F"/>
    <w:rsid w:val="66D44481"/>
    <w:rsid w:val="677D5E3A"/>
    <w:rsid w:val="677F6056"/>
    <w:rsid w:val="67A36657"/>
    <w:rsid w:val="67AA4F15"/>
    <w:rsid w:val="67C72D32"/>
    <w:rsid w:val="67DE5C77"/>
    <w:rsid w:val="67EA4225"/>
    <w:rsid w:val="68120C78"/>
    <w:rsid w:val="68792AA5"/>
    <w:rsid w:val="689A0AFA"/>
    <w:rsid w:val="693469CC"/>
    <w:rsid w:val="69470181"/>
    <w:rsid w:val="69533F4D"/>
    <w:rsid w:val="696928C4"/>
    <w:rsid w:val="696C260A"/>
    <w:rsid w:val="697355C5"/>
    <w:rsid w:val="697706BC"/>
    <w:rsid w:val="698060A2"/>
    <w:rsid w:val="698443C3"/>
    <w:rsid w:val="69991309"/>
    <w:rsid w:val="6A0D6952"/>
    <w:rsid w:val="6ABC136F"/>
    <w:rsid w:val="6AE21D24"/>
    <w:rsid w:val="6B4119E3"/>
    <w:rsid w:val="6B8531CD"/>
    <w:rsid w:val="6C832ED0"/>
    <w:rsid w:val="6CC61489"/>
    <w:rsid w:val="6CEDF47C"/>
    <w:rsid w:val="6D7D2B0C"/>
    <w:rsid w:val="6DAF2B02"/>
    <w:rsid w:val="6DF20530"/>
    <w:rsid w:val="6DFDEFD7"/>
    <w:rsid w:val="6E5813AF"/>
    <w:rsid w:val="6E99620D"/>
    <w:rsid w:val="6EAA72C9"/>
    <w:rsid w:val="6EC95E08"/>
    <w:rsid w:val="6ECC76A7"/>
    <w:rsid w:val="6EDF73DA"/>
    <w:rsid w:val="6EDFDCFC"/>
    <w:rsid w:val="6EDFDF9F"/>
    <w:rsid w:val="6F5FCEAA"/>
    <w:rsid w:val="6FF7411C"/>
    <w:rsid w:val="6FFB5EE4"/>
    <w:rsid w:val="71003B2D"/>
    <w:rsid w:val="719F763D"/>
    <w:rsid w:val="71B27028"/>
    <w:rsid w:val="71C520D5"/>
    <w:rsid w:val="720E637B"/>
    <w:rsid w:val="72F120E5"/>
    <w:rsid w:val="73165394"/>
    <w:rsid w:val="743A0024"/>
    <w:rsid w:val="74FEB00D"/>
    <w:rsid w:val="75306BE1"/>
    <w:rsid w:val="7573156B"/>
    <w:rsid w:val="7610099A"/>
    <w:rsid w:val="76364A26"/>
    <w:rsid w:val="769767EC"/>
    <w:rsid w:val="76D77381"/>
    <w:rsid w:val="76F12163"/>
    <w:rsid w:val="76F5BDC7"/>
    <w:rsid w:val="77010A28"/>
    <w:rsid w:val="776D9B15"/>
    <w:rsid w:val="777F2B58"/>
    <w:rsid w:val="77A94A29"/>
    <w:rsid w:val="77DC2453"/>
    <w:rsid w:val="77EFD512"/>
    <w:rsid w:val="77FB09AC"/>
    <w:rsid w:val="784A7FBA"/>
    <w:rsid w:val="79560112"/>
    <w:rsid w:val="79935991"/>
    <w:rsid w:val="79FE72AE"/>
    <w:rsid w:val="7A9814B1"/>
    <w:rsid w:val="7AE7B634"/>
    <w:rsid w:val="7AEE0B7A"/>
    <w:rsid w:val="7B2745E3"/>
    <w:rsid w:val="7B3F680F"/>
    <w:rsid w:val="7B57FE28"/>
    <w:rsid w:val="7B7FB23C"/>
    <w:rsid w:val="7BB265A2"/>
    <w:rsid w:val="7BC57958"/>
    <w:rsid w:val="7BFFB88B"/>
    <w:rsid w:val="7BFFE83A"/>
    <w:rsid w:val="7C557291"/>
    <w:rsid w:val="7CC876FF"/>
    <w:rsid w:val="7CD113A4"/>
    <w:rsid w:val="7CD25FA3"/>
    <w:rsid w:val="7CD5C7EA"/>
    <w:rsid w:val="7CF46746"/>
    <w:rsid w:val="7CF92202"/>
    <w:rsid w:val="7D3B6123"/>
    <w:rsid w:val="7D67FE86"/>
    <w:rsid w:val="7DC75C09"/>
    <w:rsid w:val="7DF47EE6"/>
    <w:rsid w:val="7E327F0E"/>
    <w:rsid w:val="7E4371E6"/>
    <w:rsid w:val="7E54426B"/>
    <w:rsid w:val="7EBC14E6"/>
    <w:rsid w:val="7EBE6C2F"/>
    <w:rsid w:val="7EBF1379"/>
    <w:rsid w:val="7ECBFB0E"/>
    <w:rsid w:val="7EEF11D7"/>
    <w:rsid w:val="7EFD261A"/>
    <w:rsid w:val="7F4B326E"/>
    <w:rsid w:val="7F7F765F"/>
    <w:rsid w:val="7F935C06"/>
    <w:rsid w:val="7FAC155A"/>
    <w:rsid w:val="7FB6D5B8"/>
    <w:rsid w:val="7FBF42C8"/>
    <w:rsid w:val="7FBFBD94"/>
    <w:rsid w:val="7FD1EB4B"/>
    <w:rsid w:val="7FEEEB1F"/>
    <w:rsid w:val="7FEFB6BC"/>
    <w:rsid w:val="7FF2A201"/>
    <w:rsid w:val="7FFA67B2"/>
    <w:rsid w:val="7FFC19D3"/>
    <w:rsid w:val="7FFDABA1"/>
    <w:rsid w:val="7FFF6095"/>
    <w:rsid w:val="8E3F34E4"/>
    <w:rsid w:val="9A7F82DA"/>
    <w:rsid w:val="9C7BEEA3"/>
    <w:rsid w:val="9E8EAEA6"/>
    <w:rsid w:val="A3EB35C1"/>
    <w:rsid w:val="A3FBB117"/>
    <w:rsid w:val="A67FEDAA"/>
    <w:rsid w:val="A77D63DF"/>
    <w:rsid w:val="A7A6DA46"/>
    <w:rsid w:val="AADB4A99"/>
    <w:rsid w:val="AFFD5F2C"/>
    <w:rsid w:val="B7DD026E"/>
    <w:rsid w:val="B8FF2A13"/>
    <w:rsid w:val="B9E50ABF"/>
    <w:rsid w:val="BA7B23C6"/>
    <w:rsid w:val="BAE7C5A6"/>
    <w:rsid w:val="BB7DD3D8"/>
    <w:rsid w:val="BCFDF211"/>
    <w:rsid w:val="BDAFC783"/>
    <w:rsid w:val="BEEF584A"/>
    <w:rsid w:val="BEF3F02A"/>
    <w:rsid w:val="BF1F710D"/>
    <w:rsid w:val="BF7F23C6"/>
    <w:rsid w:val="BFBF87C7"/>
    <w:rsid w:val="BFFEE69F"/>
    <w:rsid w:val="C1B920FB"/>
    <w:rsid w:val="C9EE27EF"/>
    <w:rsid w:val="CFFE2A62"/>
    <w:rsid w:val="D4AF76F4"/>
    <w:rsid w:val="DBBF18F5"/>
    <w:rsid w:val="DBBF4FF2"/>
    <w:rsid w:val="DBBF61A3"/>
    <w:rsid w:val="DBDD257A"/>
    <w:rsid w:val="DCCEB16A"/>
    <w:rsid w:val="DDDE2B50"/>
    <w:rsid w:val="DDF765CF"/>
    <w:rsid w:val="DDF7D8F6"/>
    <w:rsid w:val="DE669081"/>
    <w:rsid w:val="DEDF3449"/>
    <w:rsid w:val="DFD350D3"/>
    <w:rsid w:val="DFDEE26D"/>
    <w:rsid w:val="DFEE12B7"/>
    <w:rsid w:val="E7BD7E6E"/>
    <w:rsid w:val="E97EB5B4"/>
    <w:rsid w:val="EAFD8170"/>
    <w:rsid w:val="EEBFB48E"/>
    <w:rsid w:val="EEFB2E8D"/>
    <w:rsid w:val="EF1F33BD"/>
    <w:rsid w:val="F2FCE9E3"/>
    <w:rsid w:val="F3F6DE05"/>
    <w:rsid w:val="F3FC2D5F"/>
    <w:rsid w:val="F3FF4AEC"/>
    <w:rsid w:val="F766AAC0"/>
    <w:rsid w:val="F7B934ED"/>
    <w:rsid w:val="F9B76B8B"/>
    <w:rsid w:val="FB3AF349"/>
    <w:rsid w:val="FBFDB39E"/>
    <w:rsid w:val="FDEE377E"/>
    <w:rsid w:val="FDFF5CC7"/>
    <w:rsid w:val="FE7DA7F5"/>
    <w:rsid w:val="FE9F0F05"/>
    <w:rsid w:val="FF3CFE52"/>
    <w:rsid w:val="FF5D76F5"/>
    <w:rsid w:val="FF5DBDE4"/>
    <w:rsid w:val="FFB7AF83"/>
    <w:rsid w:val="FFE7ECB0"/>
    <w:rsid w:val="FFEF4A16"/>
    <w:rsid w:val="FFF9459E"/>
    <w:rsid w:val="FFFFC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4">
    <w:name w:val="footer"/>
    <w:basedOn w:val="1"/>
    <w:qFormat/>
    <w:uiPriority w:val="0"/>
    <w:pPr>
      <w:tabs>
        <w:tab w:val="center" w:pos="4153"/>
        <w:tab w:val="right" w:pos="8306"/>
      </w:tabs>
      <w:snapToGrid w:val="0"/>
      <w:jc w:val="left"/>
    </w:pPr>
    <w:rPr>
      <w:sz w:val="18"/>
    </w:rPr>
  </w:style>
  <w:style w:type="paragraph" w:styleId="5">
    <w:name w:val="footnote text"/>
    <w:basedOn w:val="1"/>
    <w:qFormat/>
    <w:uiPriority w:val="0"/>
    <w:pPr>
      <w:snapToGrid w:val="0"/>
      <w:jc w:val="left"/>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footnote reference"/>
    <w:basedOn w:val="10"/>
    <w:qFormat/>
    <w:uiPriority w:val="0"/>
    <w:rPr>
      <w:vertAlign w:val="superscrip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14671</Words>
  <Characters>15213</Characters>
  <Lines>0</Lines>
  <Paragraphs>0</Paragraphs>
  <TotalTime>0</TotalTime>
  <ScaleCrop>false</ScaleCrop>
  <LinksUpToDate>false</LinksUpToDate>
  <CharactersWithSpaces>15337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2025-06-18T21:35:00Z</dcterms:created>
  <dc:creator>sucongcong</dc:creator>
  <cp:lastModifiedBy>AYZYXJC</cp:lastModifiedBy>
  <dcterms:modified xsi:type="dcterms:W3CDTF">2026-09-14T02:37:06Z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eyJoZGlkIjoiODg5MjgyOWQ3ZDJkNDNmYzM2NDJkOGZlNTI5NzMxMGYiLCJ1c2VySWQiOiI0MTAxODYwMDYifQ==</vt:lpwstr>
  </property>
  <property fmtid="{D5CDD505-2E9C-101B-9397-08002B2CF9AE}" pid="4" name="ICV">
    <vt:lpwstr>129D4F91B47B40B58D426AE0F634D550_13</vt:lpwstr>
  </property>
</Properties>
</file>